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4h BSchuWG — Schriftliche Abstimmung</w:t>
      </w:r>
    </w:p>
    <w:p>
      <w:r>
        <w:rPr>
          <w:color w:val="555555"/>
          <w:sz w:val="18"/>
        </w:rPr>
        <w:t xml:space="preserve">Bundesschuldenwesengesetz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schriftliche Abstimmung sind die Vorschriften über die Einberufung und Durchführung von Gläubigerversammlungen entsprechend anzuwenden.</w:t>
      </w:r>
    </w:p>
    <w:p>
      <w:r>
        <w:rPr>
          <w:color w:val="555555"/>
          <w:sz w:val="17"/>
        </w:rPr>
        <w:t xml:space="preserve">Zitiervorschlag: § 4h BSchuWG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https://recht.nulegal.eu/gesetze/BSchuWG/4h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