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BSchuWG — Kreditaufnahme des Bundes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Aufnahme von Krediten durch den Bund und seine Sondervermögen erfolgt im Rahmen des jeweiligen Haushaltsgesetzes durch</w:t>
      </w:r>
    </w:p>
    <w:p>
      <w:pPr>
        <w:ind w:left="420"/>
      </w:pPr>
      <w:r>
        <w:t xml:space="preserve">1. Ausgabe von Schuldverschreibungen, insbesondere durch Begebung von Schuldbuchforderungen,</w:t>
      </w:r>
    </w:p>
    <w:p>
      <w:pPr>
        <w:ind w:left="420"/>
      </w:pPr>
      <w:r>
        <w:t xml:space="preserve">2. Aufnahme von Darlehen gegen Schuldschein,</w:t>
      </w:r>
    </w:p>
    <w:p>
      <w:pPr>
        <w:ind w:left="420"/>
      </w:pPr>
      <w:r>
        <w:t xml:space="preserve">3. Eingehung von Wechselverbindlichkeiten,</w:t>
      </w:r>
    </w:p>
    <w:p>
      <w:pPr>
        <w:ind w:left="420"/>
      </w:pPr>
      <w:r>
        <w:t xml:space="preserve">4. Bankkredite oder</w:t>
      </w:r>
    </w:p>
    <w:p>
      <w:pPr>
        <w:ind w:left="420"/>
      </w:pPr>
      <w:r>
        <w:t xml:space="preserve">5. sonstige an den Finanzmärkten übliche Finanzierungsinstrumente.</w:t>
      </w:r>
    </w:p>
    <w:p>
      <w:r>
        <w:t xml:space="preserve">(2) Im Rahmen des jeweiligen Haushaltsgesetzes können an den Finanzmärkten eingeführte derivative Finanzierungsinstrumente eingesetzt werden.</w:t>
      </w:r>
    </w:p>
    <w:p>
      <w:r>
        <w:rPr>
          <w:color w:val="555555"/>
          <w:sz w:val="17"/>
        </w:rPr>
        <w:t xml:space="preserve">Zitiervorschlag: § 4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