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BSchuWG — Freistellung von der Verantwortlichkeit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28.05.2024 (konsolidierte Textfassung, kein amtliches Inkrafttretensdatum)</w:t>
      </w:r>
    </w:p>
    <w:p>
      <w:r>
        <w:t xml:space="preserve">(1) Mitarbeiterinnen und Mitarbeiter sowie Mitglieder der Geschäftsführung der Bundesrepublik Deutschland – Finanzagentur GmbH, die Sachverhalte, die auf Geldwäsche, Terrorismusfinanzierung oder eine sonstige strafbare Handlung hindeuten könnten, an die Zentralstelle für Finanztransaktionen oder andere zuständige staatliche Stellen melden oder eine Strafanzeige nach § 158 der Strafprozessordnung erstatten, dürfen deshalb nicht nach zivilrechtlichen oder strafrechtlichen Vorschriften verantwortlich gemacht werden, es sei denn, die Meldung oder Strafanzeige ist vorsätzlich oder grob fahrlässig unwahr erstattet worden.</w:t>
      </w:r>
    </w:p>
    <w:p>
      <w:r>
        <w:t xml:space="preserve">(2) Absatz 1 gilt auch, wenn</w:t>
      </w:r>
    </w:p>
    <w:p>
      <w:pPr>
        <w:ind w:left="420"/>
      </w:pPr>
      <w:r>
        <w:t xml:space="preserve">1. Mitarbeiterinnen und Mitarbeiter sowie Mitglieder der Geschäftsführung einen Sachverhalt dem Bundesministerium der Finanzen oder einer Stelle melden, die unternehmensintern für die Entgegennahme einer solchen Meldung zuständig ist, und</w:t>
      </w:r>
    </w:p>
    <w:p>
      <w:pPr>
        <w:ind w:left="420"/>
      </w:pPr>
      <w:r>
        <w:t xml:space="preserve">2. Mitarbeiterinnen und Mitarbeiter oder Mitglieder der Geschäftsführung oder die Bundesrepublik Deutschland – Finanzagentur GmbH einem Auskunftsverlangen von zuständigen Strafverfolgungsbehörden oder anderen zuständigen staatlichen Stellen nachkommen.</w:t>
      </w:r>
    </w:p>
    <w:p>
      <w:r>
        <w:rPr>
          <w:color w:val="555555"/>
          <w:sz w:val="17"/>
        </w:rPr>
        <w:t xml:space="preserve">Zitiervorschlag: § 20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