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BSchuWG — Aufzeichnungs- und Aufbewahrungspflicht</w:t>
      </w:r>
    </w:p>
    <w:p>
      <w:r>
        <w:rPr>
          <w:color w:val="555555"/>
          <w:sz w:val="18"/>
        </w:rPr>
        <w:t xml:space="preserve">Bundesschuldenwesengesetz</w:t>
      </w:r>
    </w:p>
    <w:p>
      <w:r>
        <w:rPr>
          <w:color w:val="555555"/>
          <w:sz w:val="18"/>
        </w:rPr>
        <w:t xml:space="preserve">Stand: 28.05.2024 (konsolidierte Textfassung, kein amtliches Inkrafttretensdatum)</w:t>
      </w:r>
    </w:p>
    <w:p>
      <w:r>
        <w:t xml:space="preserve">(1) Die Bundesrepublik Deutschland – Finanzagentur GmbH bewahrt die Aufzeichnungen und sonstigen Belege nach den §§ 9 bis 11 und 14 bis 18 für die Dauer von fünf Jahren auf; nach Ablauf der Frist sind sie zu löschen. Sehen andere gesetzliche Bestimmungen über Aufzeichnungs- und Aufbewahrungspflichten eine längere Frist vor, sind die in Satz 1 genannten Aufzeichnungen und sonstigen Belege spätestens nach Ablauf von zehn Jahren zu löschen.</w:t>
      </w:r>
    </w:p>
    <w:p>
      <w:r>
        <w:t xml:space="preserve">(2) Die Aufbewahrungsfrist beginnt mit dem Schluss des Kalenderjahres, in dem die Geschäftsbeziehung endet oder die jeweilige Sicherungsmaßnahme im Sinne des § 12 Absatz 2 beendet wird oder die Kontrolle abgeschlossen wurde. Erfolgen Aktualisierungen der Daten, beginnt für den Altdatensatz die Aufbewahrungsfrist erneut zu laufen.</w:t>
      </w:r>
    </w:p>
    <w:p>
      <w:r>
        <w:t xml:space="preserve">(3) Aufzeichnungen nach § 18 Absatz 1 sind vor Ablauf der in Absatz 1 und 2 genannten Frist zu löschen, wenn ihre Aufbewahrung zum Schutz des Vermögens des Bundes und seiner Sondervermögen nicht mehr erforderlich ist.</w:t>
      </w:r>
    </w:p>
    <w:p>
      <w:r>
        <w:rPr>
          <w:color w:val="555555"/>
          <w:sz w:val="17"/>
        </w:rPr>
        <w:t xml:space="preserve">Zitiervorschlag: § 19 BSchuWG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