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BSchuWG — Überprüfung von Angaben zum Zweck der Identifizierung</w:t>
      </w:r>
    </w:p>
    <w:p>
      <w:r>
        <w:rPr>
          <w:color w:val="555555"/>
          <w:sz w:val="18"/>
        </w:rPr>
        <w:t xml:space="preserve">Bundesschuldenwesengesetz</w:t>
      </w:r>
    </w:p>
    <w:p>
      <w:r>
        <w:rPr>
          <w:color w:val="555555"/>
          <w:sz w:val="18"/>
        </w:rPr>
        <w:t xml:space="preserve">Stand: 28.05.2024 (konsolidierte Textfassung, kein amtliches Inkrafttretensdatum)</w:t>
      </w:r>
    </w:p>
    <w:p>
      <w:r>
        <w:t xml:space="preserve">(1) Die Überprüfung der nach § 15 Absatz 3 verarbeiteten Angaben zum Vertragspartner oder Verfügungsberechtigten oder gesetzlichen Vertreter und die gegebenenfalls für diese jeweils auftretenden Personen darf bei natürlichen Personen erfolgen anhand</w:t>
      </w:r>
    </w:p>
    <w:p>
      <w:pPr>
        <w:ind w:left="420"/>
      </w:pPr>
      <w:r>
        <w:t xml:space="preserve">1. eines gültigen amtlichen Ausweises, der ein Lichtbild des Inhabers enthält und mit dem die Pass- und Ausweispflicht im Inland erfüllt wird, insbesondere eines inländischen oder nach ausländerrechtlichen Bestimmungen anerkannten oder zugelassenen Passes, Personalausweises oder Pass- oder Ausweisersatzes oder</w:t>
      </w:r>
    </w:p>
    <w:p>
      <w:pPr>
        <w:ind w:left="420"/>
      </w:pPr>
      <w:r>
        <w:t xml:space="preserve">2. weiterer nach § 12 Absatz 1 des Geldwäschegesetzes vorgesehener Identifizierungsverfahren.</w:t>
      </w:r>
    </w:p>
    <w:p>
      <w:r>
        <w:t xml:space="preserve">(2) Die Überprüfung der nach § 15 Absatz 3 verarbeiteten Angaben zum Vertragspartner oder Verfügungsberechtigten und den gegebenenfalls für diese auftretenden Personen sowie gesetzlichen Vertreter kann bei juristischen Personen oder bei Personengesellschaften erfolgen anhand</w:t>
      </w:r>
    </w:p>
    <w:p>
      <w:pPr>
        <w:ind w:left="420"/>
      </w:pPr>
      <w:r>
        <w:t xml:space="preserve">1. eines Auszuges aus dem Handels- oder Genossenschaftsregister oder aus einem vergleichbaren amtlichen Register oder Verzeichnis,</w:t>
      </w:r>
    </w:p>
    <w:p>
      <w:pPr>
        <w:ind w:left="420"/>
      </w:pPr>
      <w:r>
        <w:t xml:space="preserve">2. von Gründungsdokumenten oder von gleichwertigen beweiskräftigen Dokumenten oder</w:t>
      </w:r>
    </w:p>
    <w:p>
      <w:pPr>
        <w:ind w:left="420"/>
      </w:pPr>
      <w:r>
        <w:t xml:space="preserve">3. einer eigenen dokumentierten Einsichtnahme des Verpflichteten in die Register- oder Verzeichnisdaten.</w:t>
      </w:r>
    </w:p>
    <w:p>
      <w:r>
        <w:t xml:space="preserve">(3) Zur Überprüfung der nach § 15 Absatz 4 verarbeiteten Angaben zu wirtschaftlich Berechtigten ist die Bundesrepublik Deutschland – Finanzagentur GmbH befugt, Angaben aus dem Transparenzregister einzuholen und zu verarbeiten, um sich zu vergewissern, dass die Angaben zutreffend sind.</w:t>
      </w:r>
    </w:p>
    <w:p>
      <w:r>
        <w:rPr>
          <w:color w:val="555555"/>
          <w:sz w:val="17"/>
        </w:rPr>
        <w:t xml:space="preserve">Zitiervorschlag: § 16 BSchuWG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