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BSchuWG — Speicherung und Verarbeitung personenbezogener Daten</w:t>
      </w:r>
    </w:p>
    <w:p>
      <w:r>
        <w:rPr>
          <w:color w:val="555555"/>
          <w:sz w:val="18"/>
        </w:rPr>
        <w:t xml:space="preserve">Bundesschuldenwesengesetz</w:t>
      </w:r>
    </w:p>
    <w:p>
      <w:r>
        <w:rPr>
          <w:color w:val="555555"/>
          <w:sz w:val="18"/>
        </w:rPr>
        <w:t xml:space="preserve">Stand: 28.05.2024 (konsolidierte Textfassung, kein amtliches Inkrafttretensdatum)</w:t>
      </w:r>
    </w:p>
    <w:p>
      <w:r>
        <w:t xml:space="preserve">(1) Die Bundesrepublik Deutschland – Finanzagentur GmbH darf personenbezogene Daten der in § 12 Absatz 1 Satz 1 genannten Personen zur Durchsetzung der nach § 12 Absatz 1 Satz 1 erlassenen betriebsinternen Weisungen oder Vereinbarungen sowie zu den in § 12 Absatz 1 und 2 genannten Zwecken nur verarbeiten, soweit dies erforderlich ist. Dies umfasst</w:t>
      </w:r>
    </w:p>
    <w:p>
      <w:pPr>
        <w:ind w:left="420"/>
      </w:pPr>
      <w:r>
        <w:t xml:space="preserve">1. den oder die Vornamen und den Nachnamen,</w:t>
      </w:r>
    </w:p>
    <w:p>
      <w:pPr>
        <w:ind w:left="420"/>
      </w:pPr>
      <w:r>
        <w:t xml:space="preserve">2. den Geburtsort,</w:t>
      </w:r>
    </w:p>
    <w:p>
      <w:pPr>
        <w:ind w:left="420"/>
      </w:pPr>
      <w:r>
        <w:t xml:space="preserve">3. das Geburtsdatum,</w:t>
      </w:r>
    </w:p>
    <w:p>
      <w:pPr>
        <w:ind w:left="420"/>
      </w:pPr>
      <w:r>
        <w:t xml:space="preserve">4. die Staatsangehörigkeit,</w:t>
      </w:r>
    </w:p>
    <w:p>
      <w:pPr>
        <w:ind w:left="420"/>
      </w:pPr>
      <w:r>
        <w:t xml:space="preserve">5. die Wohnanschrift,</w:t>
      </w:r>
    </w:p>
    <w:p>
      <w:pPr>
        <w:ind w:left="420"/>
      </w:pPr>
      <w:r>
        <w:t xml:space="preserve">6. die Kontoverbindung einschließlich der Depotnummer und der bestehenden Depot- und Vollmachtsanzeigen,</w:t>
      </w:r>
    </w:p>
    <w:p>
      <w:pPr>
        <w:ind w:left="420"/>
      </w:pPr>
      <w:r>
        <w:t xml:space="preserve">7. die Wertpapierkennnummer sowie die Internationale Wertpapierkennnummer des zu meldenden Finanzinstruments,</w:t>
      </w:r>
    </w:p>
    <w:p>
      <w:pPr>
        <w:ind w:left="420"/>
      </w:pPr>
      <w:r>
        <w:t xml:space="preserve">8. den Handelsplatz und</w:t>
      </w:r>
    </w:p>
    <w:p>
      <w:pPr>
        <w:ind w:left="420"/>
      </w:pPr>
      <w:r>
        <w:t xml:space="preserve">9. das Datum sowie die Uhrzeit der Auftragserteilung und der Ausführung.</w:t>
      </w:r>
    </w:p>
    <w:p>
      <w:r>
        <w:t xml:space="preserve">(2) Die Bundesrepublik Deutschland – Finanzagentur GmbH darf personenbezogene Daten im Sinne von Absatz 1 Satz 2 Nummer 1 bis 5 von Dritten nur verarbeiten, soweit dies für die in § 12 Absatz 1 und 2 genannten Zwecke erforderlich ist.</w:t>
      </w:r>
    </w:p>
    <w:p>
      <w:r>
        <w:t xml:space="preserve">(3) Die nach Absatz 1 verarbeiteten Daten sind spätestens fünf Jahre nach dem Ende des Kalenderjahres zu löschen, in dem die Daten erhoben wurden. Die Daten auf nach § 12 Absatz 2 erstellten Insiderlisten, einschließlich der dazu nach Absatz 1 erhobenen Daten, sind spätestens fünf Jahre nach dem Ende des Kalenderjahres zu löschen, in dem die Insiderliste geschlossen wurde. Daten, die für Sicherungsmaßnahmen oder Kontrollen nach § 12 Absatz 2 verarbeitet wurden, sind spätestens fünf Jahre nach dem Ende des Kalenderjahres zu löschen, in dem die jeweilige Sicherungsmaßnahme beendet oder die Kontrolle abgeschlossen wurde.</w:t>
      </w:r>
    </w:p>
    <w:p>
      <w:r>
        <w:rPr>
          <w:color w:val="555555"/>
          <w:sz w:val="17"/>
        </w:rPr>
        <w:t xml:space="preserve">Zitiervorschlag: § 13 BSchuWG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https://recht.nulegal.eu/gesetze/BSchuWG/13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