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BSchuWG — Verarbeitung personenbezogener Daten durch die Bundesrepublik Deutschland – Finanzagentur GmbH</w:t>
      </w:r>
    </w:p>
    <w:p>
      <w:r>
        <w:rPr>
          <w:color w:val="555555"/>
          <w:sz w:val="18"/>
        </w:rPr>
        <w:t xml:space="preserve">Bundesschuldenwesengesetz</w:t>
      </w:r>
    </w:p>
    <w:p>
      <w:r>
        <w:rPr>
          <w:color w:val="555555"/>
          <w:sz w:val="18"/>
        </w:rPr>
        <w:t xml:space="preserve">Stand: 28.05.2024 (konsolidierte Textfassung, kein amtliches Inkrafttretensdatum)</w:t>
      </w:r>
    </w:p>
    <w:p>
      <w:r>
        <w:t xml:space="preserve">(1) Die Bundesrepublik Deutschland – Finanzagentur GmbH darf die nach den §§ 9 und 13 bis 17 erhobenen personenbezogenen Daten nur verarbeiten, soweit dies für Zwecke der Aufgabenwahrnehmung, zum Schutz des Vermögens des Bundes und seiner Sondervermögen, zum Schutz der Integrität und der Reputation des Schuldenwesens und zum Zweck der Durchführung und Umsetzung der Sicherungsmaßnahmen oder für Zwecke der Verhinderung von Geldwäsche und Terrorismusfinanzierung sowie der Bekämpfung von sonstigen strafbaren Handlungen erforderlich ist.</w:t>
      </w:r>
    </w:p>
    <w:p>
      <w:r>
        <w:t xml:space="preserve">(2) Soweit die Bundesrepublik Deutschland – Finanzagentur GmbH personenbezogene Daten für Zwecke nach Absatz 1 an die zuständigen Staatsanwaltschaften oder Aufsichtsbehörden oder die Personen und Einrichtungen, deren sich die zuständigen Staatsanwaltschaften oder Aufsichtsbehörden bei der Durchführung ihrer Aufgaben bedienen, oder an die Zentralstelle für Finanztransaktionsuntersuchungen übermittelt, besteht keine Pflicht zur Information der betroffenen Person nach Artikel 13 Absatz 3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L 74 vom 4.3.2021, S. 35) und kein Recht auf Auskunft der betroffenen Person nach Artikel 15 der Verordnung (EU) 2016/679.</w:t>
      </w:r>
    </w:p>
    <w:p>
      <w:r>
        <w:t xml:space="preserve">(3) Die Absätze 1 und 2 finden entsprechende Anwendung auf Dritte im Sinne von § 11 sowie Dritte im Sinne von § 17.</w:t>
      </w:r>
    </w:p>
    <w:p>
      <w:r>
        <w:rPr>
          <w:color w:val="555555"/>
          <w:sz w:val="17"/>
        </w:rPr>
        <w:t xml:space="preserve">Zitiervorschlag: § 10 BSchuWG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https://recht.nulegal.eu/gesetze/BSchuWG/10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