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BSchG NRW (Nordrhein-Westfalen) — Inkrafttreten</w:t>
      </w:r>
    </w:p>
    <w:p>
      <w:r>
        <w:rPr>
          <w:color w:val="555555"/>
          <w:sz w:val="18"/>
        </w:rPr>
        <w:t xml:space="preserve">Beschäftigtenschutzgesetz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der Verkündung in Kraft.</w:t>
      </w:r>
    </w:p>
    <w:p>
      <w:r>
        <w:rPr>
          <w:color w:val="555555"/>
          <w:sz w:val="17"/>
        </w:rPr>
        <w:t xml:space="preserve">Zitiervorschlag: § 7 BSchG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https://recht.nulegal.eu/gesetze/BSchG%20NRW/7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