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BSchG NRW (Nordrhein-Westfalen) — Geltung anderer Regelungen</w:t>
      </w:r>
    </w:p>
    <w:p>
      <w:r>
        <w:rPr>
          <w:color w:val="555555"/>
          <w:sz w:val="18"/>
        </w:rPr>
        <w:t xml:space="preserve">Beschäftigtenschutzgesetz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Bestehende Rechtsgrundlagen zur Verarbeitung personenbezogener Daten von gefährdenden Personen bleiben durch die Vorschriften dieses Gesetzes unberührt.</w:t>
      </w:r>
    </w:p>
    <w:p>
      <w:r>
        <w:t xml:space="preserve">(2) Die Regelungen des allgemeinen Datenschutzrechts nach der Verordnung (EU) 2016/679 und dem Datenschutzgesetz Nordrhein-Westfalen bleiben unberührt.</w:t>
      </w:r>
    </w:p>
    <w:p>
      <w:r>
        <w:rPr>
          <w:color w:val="555555"/>
          <w:sz w:val="17"/>
        </w:rPr>
        <w:t xml:space="preserve">Zitiervorschlag: § 6 BSchG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https://recht.nulegal.eu/gesetze/BSchG%20NRW/6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