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BSchAV</w:t>
      </w:r>
    </w:p>
    <w:p>
      <w:r>
        <w:rPr>
          <w:color w:val="555555"/>
          <w:sz w:val="18"/>
        </w:rPr>
        <w:t xml:space="preserve">Berufsschadensausgleichsverordnung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Auf Grund des § 30 Absatz 14 des Bundesversorgungsgesetzes, der zuletzt durch Artikel 1 Nummer 20 Buchstabe g des Gesetzes vom 23. März 1990 (BGBl. I S. 582) geändert worden ist, verordnet die Bundesregierung:</w:t>
      </w:r>
    </w:p>
    <w:p>
      <w:r>
        <w:rPr>
          <w:color w:val="555555"/>
          <w:sz w:val="17"/>
        </w:rPr>
        <w:t xml:space="preserve">Zitiervorschlag: Eingangsformel BSchAV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