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BSchAV — Nicht zu berücksichtigende Einkünfte</w:t>
      </w:r>
    </w:p>
    <w:p>
      <w:r>
        <w:rPr>
          <w:color w:val="555555"/>
          <w:sz w:val="18"/>
        </w:rPr>
        <w:t xml:space="preserve">Berufsschadensausgleichsverordnung</w:t>
      </w:r>
    </w:p>
    <w:p>
      <w:r>
        <w:rPr>
          <w:color w:val="555555"/>
          <w:sz w:val="18"/>
        </w:rPr>
        <w:t xml:space="preserve">Historische Fassung: Stand 10.06.2019 bis 01.01.2024. Dies ist nicht die aktuelle Fassung.</w:t>
      </w:r>
    </w:p>
    <w:p>
      <w:r>
        <w:t xml:space="preserve">(1) Zum derzeitigen Bruttoeinkommen im Sinne des § 30 Absatz 4 Satz 1 des Bundesversorgungsgesetzes gehören nicht die in § 2 Absatz 1 der Ausgleichsrentenverordnung genannten Einkünfte; abweichend hiervon bleiben sowohl die in Nummer 17 genannten Weihnachts- und Neujahrsgratifikationen, soweit sie als solche ausgewiesen sind, als auch zusätzlich zum Arbeitsentgelt gezahltes Urlaubsgeld jeweils bis zu einem Zwölftel des jährlichen Einkommens, mit dem diese Leistungen im Zusammenhang stehen, oder, falls dies günstiger ist, bis zur Höhe des Betrags, der dem Einkommen für den Monat der Berechnung der Leistung entspricht, unberücksichtigt. Einkommen, die zur Kürzung des Versorgungskranken-, Kranken- oder Verletztengelds führen, bleiben mit dem der Anrechnung zugrunde liegenden Bruttobetrag unberücksichtigt.</w:t>
      </w:r>
    </w:p>
    <w:p>
      <w:r>
        <w:t xml:space="preserve">(2) Bei Anwendung des § 30 Absatz 11 des Bundesversorgungsgesetzes bleiben Einnahmen unberücksichtigt, die an die Stelle des vor Eintritt des Nachschadens erzielten Erwerbseinkommens treten, soweit sie allein oder zusammen mit Einnahmen aus gegenwärtiger Tätigkeit den Betrag des zu berücksichtigenden Durchschnittseinkommens nicht übersteigen. Bei der Feststellung des Berufsschadensausgleichs nach § 30 Absatz 6 des Bundesversorgungsgesetzes gilt Satz 1 mit der Maßgabe, dass der Nettobetrag des derzeitigen Einkommens insgesamt mit dem Nettobetrag des Durchschnittseinkommens zu vergleichen ist.</w:t>
      </w:r>
    </w:p>
    <w:p>
      <w:r>
        <w:rPr>
          <w:color w:val="555555"/>
          <w:sz w:val="17"/>
        </w:rPr>
        <w:t xml:space="preserve">Zitiervorschlag: § 9 BSchAV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https://recht.nulegal.eu/gesetze/BSchAV/9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