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BSchAV — Ermittlung des Durchschnittseinkommens in besonderen Fällen</w:t>
      </w:r>
    </w:p>
    <w:p>
      <w:r>
        <w:rPr>
          <w:color w:val="555555"/>
          <w:sz w:val="18"/>
        </w:rPr>
        <w:t xml:space="preserve">Berufsschadensausgleichsverordnung</w:t>
      </w:r>
    </w:p>
    <w:p>
      <w:r>
        <w:rPr>
          <w:color w:val="555555"/>
          <w:sz w:val="18"/>
        </w:rPr>
        <w:t xml:space="preserve">Historische Fassung: Stand 10.06.2019 bis 01.01.2024. Dies ist nicht die aktuelle Fassung.</w:t>
      </w:r>
    </w:p>
    <w:p>
      <w:r>
        <w:t xml:space="preserve">(1) Hatten Beschädigte nachweislich in dem Beruf, den sie vor dem Eintritt der Schädigung oder vor der Auswirkung der Folgen der Schädigung ausgeübt haben, eine Stellung erreicht, die durch die Vorschriften des § 3 nicht ausreichend berücksichtigt wird, ist als Durchschnittseinkommen das Grundgehalt der Stufe 8 einer dieser Stellung angemessenen Besoldungsgruppe der Bundesbesoldungsordnung A zuzüglich des Familienzuschlags der Stufe 1 nach der Anlage V zum Bundesbesoldungsgesetz zugrunde zu legen. Zur Ermittlung der angemessenen Besoldungsgruppe sind die Einkünfte aus nichtselbstständiger Arbeit, die vor der Schädigung oder vor der Auswirkung der Folgen der Schädigung auf den Beruf erzielt worden sind, um 10 vom Hundert zu verringern und den Bezügen (Grundgehalt der Stufe 8 und Familienzuschlag der Stufe 1) gegenüberzustellen, die Bundesbeamte zu derselben Zeit erhalten hätten; Amtszulagen gelten nicht als Bestandteil des Grundgehalts. Sind nach § 30 Absatz 5 Satz 6 des Bundesversorgungsgesetzes Vergleichseinkommen bekannt gemacht, sind diese anstelle der Bezüge nach Satz 2 den Einkünften gegenüberzustellen.</w:t>
      </w:r>
    </w:p>
    <w:p>
      <w:r>
        <w:t xml:space="preserve">(2) Absatz 1 gilt für selbstständig Tätige entsprechend, wenn zu dem nach Absatz 1 Satz 1 maßgeblichen Zeitpunkt die wirtschaftliche Bedeutung der ausgeübten selbstständigen Tätigkeit durch § 3 nicht ausreichend berücksichtigt wird. Die wirtschaftliche Bedeutung wird nicht ausreichend berücksichtigt, wenn der nach den Sätzen 3 und 4 ermittelte Gewinn mindestens das Grundgehalt der Stufe 8 der nächsthöheren Besoldungsgruppe erreicht. Der Ermittlung der angemessenen Besoldungsgruppe sind 80 vom Hundert des durchschnittlichen Gewinns aus Gewerbe oder aus selbstständiger Arbeit in den letzten drei Jahren vor dem Eintritt der Schädigung oder vor der Auswirkung der Folgen der Schädigung auf den Beruf zugrunde zu legen, jedoch nur insoweit, als er auf die eigene Arbeitsleistung von Beschädigten zurückzuführen ist. Bei der Ermittlung des Wertes der eigenen Arbeitsleistung ist zum Vergleich das Grundgehalt der Stufe 8 der Besoldungsgruppe der Bundesbesoldungsordnung A heranzuziehen, das Beamten des Bundes in vergleichbarer Stellung zu zahlen gewesen wäre.</w:t>
      </w:r>
    </w:p>
    <w:p>
      <w:r>
        <w:rPr>
          <w:color w:val="555555"/>
          <w:sz w:val="17"/>
        </w:rPr>
        <w:t xml:space="preserve">Zitiervorschlag: § 4 BSchAV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