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BSchAV — Inkrafttreten, Außerkrafttreten</w:t>
      </w:r>
    </w:p>
    <w:p>
      <w:r>
        <w:rPr>
          <w:color w:val="555555"/>
          <w:sz w:val="18"/>
        </w:rPr>
        <w:t xml:space="preserve">Berufsschadensausgleichsverordnung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Diese Verordnung tritt am 1. Juli 2011 in Kraft. Gleichzeitig tritt die Berufsschadensausgleichsverordnung in der Fassung der Bekanntmachung vom 29. Juni 1984 (BGBl. I S. 861), die zuletzt durch Artikel 17 des Gesetzes vom 13. Dezember 2007 (BGBl. I S. 2904) geändert worden ist, außer Kraft.</w:t>
      </w:r>
    </w:p>
    <w:p>
      <w:r>
        <w:rPr>
          <w:color w:val="555555"/>
          <w:sz w:val="17"/>
        </w:rPr>
        <w:t xml:space="preserve">Zitiervorschlag: § 13 BSchAV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https://recht.nulegal.eu/gesetze/BSchAV/13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