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BSanPlagV (Brandenburg)</w:t>
      </w:r>
    </w:p>
    <w:p>
      <w:r>
        <w:rPr>
          <w:color w:val="555555"/>
          <w:sz w:val="18"/>
        </w:rPr>
        <w:t xml:space="preserve">Verordnung über die Abgrenzung der Braunkohlen- und Sanierungsplangebiete im Land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Braunkohlenausschuß des Landes Brandenburg kann der</w:t>
      </w:r>
    </w:p>
    <w:p>
      <w:r>
        <w:t xml:space="preserve">Landesplanungsbehörde entsprechend den Erfordernissen der Braunkohlen- und</w:t>
      </w:r>
    </w:p>
    <w:p>
      <w:r>
        <w:t xml:space="preserve">Sanierungsplanung begründete Vorschläge zur Präzisierung der</w:t>
      </w:r>
    </w:p>
    <w:p>
      <w:r>
        <w:t xml:space="preserve">Abgrenzung der Braunkohlen- und Sanierungsplangebiete unterbreiten.</w:t>
      </w:r>
    </w:p>
    <w:p>
      <w:r>
        <w:rPr>
          <w:color w:val="555555"/>
          <w:sz w:val="17"/>
        </w:rPr>
        <w:t xml:space="preserve">Zitiervorschlag: § 2 BSanPlagV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https://recht.nulegal.eu/gesetze/BSanPlagV/2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