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BSWAG — Unvorhergesehener Bedarf</w:t>
      </w:r>
    </w:p>
    <w:p>
      <w:r>
        <w:rPr>
          <w:color w:val="555555"/>
          <w:sz w:val="18"/>
        </w:rPr>
        <w:t xml:space="preserve">Bundesschienenwegeausbaugesetz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ein unvorhergesehener Verkehrsbedarf insbesondere auf Grund einer Änderung der Verkehrsstruktur es erfordert, können die Ausbaupläne im Einzelfall auch Maßnahmen enthalten, die nicht dem Bedarfsplan entsprechen.</w:t>
      </w:r>
    </w:p>
    <w:p>
      <w:r>
        <w:rPr>
          <w:color w:val="555555"/>
          <w:sz w:val="17"/>
        </w:rPr>
        <w:t xml:space="preserve">Zitiervorschlag: § 6 BSWAG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https://recht.nulegal.eu/gesetze/BSWAG/6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