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BSWAG — Überprüfung des Bedarfs</w:t>
      </w:r>
    </w:p>
    <w:p>
      <w:r>
        <w:rPr>
          <w:color w:val="555555"/>
          <w:sz w:val="18"/>
        </w:rPr>
        <w:t xml:space="preserve">Bundesschienenwegeausbaugesetz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(1) Spätestens nach Ablauf von jeweils fünf Jahren prüft das Bundesministerium für Verkehr ob der Bedarfsplan der zwischenzeitlich eingetretenen Wirtschafts- und Verkehrsentwicklung anzupassen ist. Die Anpassung und Aufstellung erfolgen durch Gesetz.</w:t>
      </w:r>
    </w:p>
    <w:p>
      <w:r>
        <w:t xml:space="preserve">(2) Das Gesetz zur Förderung der Stabilität und des Wachstums der Wirtschaft vom 8. Juni 1967 (BGBl. I S. 582) bleibt unberührt.</w:t>
      </w:r>
    </w:p>
    <w:p>
      <w:r>
        <w:rPr>
          <w:color w:val="555555"/>
          <w:sz w:val="17"/>
        </w:rPr>
        <w:t xml:space="preserve">Zitiervorschlag: § 4 BSWAG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https://recht.nulegal.eu/gesetze/BSWAG/4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