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BSWAG — Gegenstand des Bedarfsplans</w:t>
      </w:r>
    </w:p>
    <w:p>
      <w:r>
        <w:rPr>
          <w:color w:val="555555"/>
          <w:sz w:val="18"/>
        </w:rPr>
        <w:t xml:space="preserve">Bundesschienenwegeausbaugesetz</w:t>
      </w:r>
    </w:p>
    <w:p>
      <w:r>
        <w:rPr>
          <w:color w:val="555555"/>
          <w:sz w:val="18"/>
        </w:rPr>
        <w:t xml:space="preserve">Stand: 31.07.2026 (konsolidierte Textfassung, kein amtliches Inkrafttretensdatum)</w:t>
      </w:r>
    </w:p>
    <w:p>
      <w:r>
        <w:t xml:space="preserve">(1) In den Bedarfsplan sollen insbesondere aufgenommen werden Schienenverkehrsstrecken des Fern- und Nahverkehrs, Schienenverkehrsknoten und Schienenverkehrsanlagen, die dem kombinierten Verkehr Schiene/Straße/Wasserstraße sowie der direkten Verknüpfung von Fernverkehrsstrecken mit internationalen Verkehrsflughäfen dienen. Zu den Ausbaumaßnahmen können auch Maßnahmen zur Elektrifizierung an bestehenden Schienenstrecken der Eisenbahnen des Bundes gehören.</w:t>
      </w:r>
    </w:p>
    <w:p>
      <w:r>
        <w:t xml:space="preserve">(2) Der Bedarfsplan für die Bundesschienenwege und die entsprechenden Pläne für andere Verkehrsträger sind im Rahmen der Bundesverkehrswegeplanung aufeinander abzustimmen. Hierbei sind auch Ausbaupläne für den europäischen Eisenbahnverkehr und kombinierten Verkehr, Belange des Umweltschutzes und Zielsetzungen der Raumplanung angemessen zu berücksichtigen.</w:t>
      </w:r>
    </w:p>
    <w:p>
      <w:r>
        <w:t xml:space="preserve">(3) Für Maßnahmen, die der Erhöhung der Netzresilienz bei einem Vorhaben des Bedarfsplans für die Bundesschienenwege dienen, hat das Bundesministerium für Verkehr die Modalitäten für das anzuwendende Verfahren des Nachweises der Wirtschaftlichkeit festzulegen.</w:t>
      </w:r>
    </w:p>
    <w:p>
      <w:r>
        <w:rPr>
          <w:color w:val="555555"/>
          <w:sz w:val="17"/>
        </w:rPr>
        <w:t xml:space="preserve">Zitiervorschlag: § 3 BSWAG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https://recht.nulegal.eu/gesetze/BSWAG/3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