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BSWAG — Bedarfsplan, Einzelmaßnahmen</w:t>
      </w:r>
    </w:p>
    <w:p>
      <w:r>
        <w:rPr>
          <w:color w:val="555555"/>
          <w:sz w:val="18"/>
        </w:rPr>
        <w:t xml:space="preserve">Bundesschienenwegeausbaugesetz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Ausbau erfolgt nach Stufen, die im Bedarfsplan vorgesehen sind, und nach Maßgabe der §§ 8 bis 11.</w:t>
      </w:r>
    </w:p>
    <w:p>
      <w:r>
        <w:t xml:space="preserve">(2) Einzelne Baumaßnahmen, die nicht in den Bedarfsplan aufgenommen worden sind, bleiben unberührt; sie sind auf die Baumaßnahmen abzustimmen, die auf der Grundlage des Bedarfsplans ausgeführt werden sollen.</w:t>
      </w:r>
    </w:p>
    <w:p>
      <w:r>
        <w:rPr>
          <w:color w:val="555555"/>
          <w:sz w:val="17"/>
        </w:rPr>
        <w:t xml:space="preserve">Zitiervorschlag: § 2 BSWAG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https://recht.nulegal.eu/gesetze/BSWAG/2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