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BSWAG — Optionale Finanzierung durch den Bund</w:t>
      </w:r>
    </w:p>
    <w:p>
      <w:r>
        <w:rPr>
          <w:color w:val="555555"/>
          <w:sz w:val="18"/>
        </w:rPr>
        <w:t xml:space="preserve">Bundesschienenwegeausbaugesetz</w:t>
      </w:r>
    </w:p>
    <w:p>
      <w:r>
        <w:rPr>
          <w:color w:val="555555"/>
          <w:sz w:val="18"/>
        </w:rPr>
        <w:t xml:space="preserve">Stand: 31.07.2026 (konsolidierte Textfassung, kein amtliches Inkrafttretensdatum)</w:t>
      </w:r>
    </w:p>
    <w:p>
      <w:r>
        <w:t xml:space="preserve">(1) Der Bund kann sich an den Kosten für einmalig anfallenden Aufwand beteiligen, der mit dem verfolgten Zweck einer Finanzierung im Zusammenhang steht; ein rein zeitlicher oder örtlicher Zusammenhang reicht hierfür nicht aus.</w:t>
      </w:r>
    </w:p>
    <w:p>
      <w:r>
        <w:t xml:space="preserve">(2) Der Bund kann sich an den Kosten der Unterhaltung und Instandhaltung der Schienenwege der Eisenbahnen des Bundes beteiligen.</w:t>
      </w:r>
    </w:p>
    <w:p>
      <w:r>
        <w:t xml:space="preserve">(3) Der Bund kann sich an den Kosten für bauliche Maßnahmen beteiligen, die aufgrund baurechtlicher oder eisenbahnrechtlicher Anforderungen an Schienenwegen der Eisenbahnen des Bundes notwendig sind.</w:t>
      </w:r>
    </w:p>
    <w:p>
      <w:r>
        <w:t xml:space="preserve">(4) Der Bund kann sich im Rahmen der Digitalisierung der Schienenwege der Eisenbahnen des Bundes an den folgenden infrastruktur- und fahrzeugseitigen Kosten beteiligen:</w:t>
      </w:r>
    </w:p>
    <w:p>
      <w:pPr>
        <w:ind w:left="420"/>
      </w:pPr>
      <w:r>
        <w:t xml:space="preserve">1. Kosten für die infrastruktur- und fahrzeugseitige Ausrüstung auf dem übergeordneten Netz im Sinne von § 2b des Allgemeinen Eisenbahngesetzes mit Betriebsleitsystemen, Kommunikationssystemen, Kapazitätsmanagementsystemen und Verkehrsmanagementsystemen, die</w:t>
      </w:r>
    </w:p>
    <w:p>
      <w:pPr>
        <w:ind w:left="780"/>
      </w:pPr>
      <w:r>
        <w:t xml:space="preserve">a) die Sicherheit des Eisenbahnbetriebs gewährleisten,</w:t>
      </w:r>
    </w:p>
    <w:p>
      <w:pPr>
        <w:ind w:left="780"/>
      </w:pPr>
      <w:r>
        <w:t xml:space="preserve">b) die Kapazität der Schienenwege steuern oder steigern oder</w:t>
      </w:r>
    </w:p>
    <w:p>
      <w:pPr>
        <w:ind w:left="780"/>
      </w:pPr>
      <w:r>
        <w:t xml:space="preserve">c) andere aufwendigere Investitionen in diese vermeiden;</w:t>
      </w:r>
    </w:p>
    <w:p>
      <w:pPr>
        <w:ind w:left="420"/>
      </w:pPr>
      <w:r>
        <w:t xml:space="preserve">2. Kosten für infrastruktur- und fahrzeugseitige IT-Leistungen, inklusive Entwicklungs- und Zulassungsleistungen, soweit diese im unmittelbaren Zusammenhang mit den Schienenwegen der Eisenbahnen des Bundes stehen und nicht die Kosten für reine Forschungsleistungen und Entwicklungsleistungen ohne unmittelbaren Bezug zur jeweiligen IT-Leistung beinhalten.</w:t>
      </w:r>
    </w:p>
    <w:p>
      <w:r>
        <w:t xml:space="preserve">Satz 1 gilt nur für Fahrzeuge, die das übergeordnete Netz befahren. Die Förderung der Ausrüstung von Neufahrzeugen nach Satz 1 ist ausgeschlossen. Der Bund kann die Kosten der Ausrüstung von Vorserienfahrzeugen („First of Class“) bis zu 90 Prozent und der Ausrüstung von Serienfahrzeugen bis zu 60 Prozent finanzieren, sofern dafür die nach dem Beihilferecht der Europäischen Union zu beachtenden Voraussetzungen vorliegen. Die Einzelheiten sind vom Bundesministerium für Verkehr in einer Förderrichtlinie zu regeln. In dieser sind Anreize für die zügige Ausrüstung von Vorserienfahrzeugen aufzunehmen. Diese Förderrichtlinie wird zum 31. Dezember 2028 vom Bundesministerium für Verkehr im Hinblick auf ihre Zielerreichung und die Höhe der Förderung evaluiert. § 11b Absatz 1, 2, 4 und 5 findet auf diesen Absatz keine Anwendung.</w:t>
      </w:r>
    </w:p>
    <w:p>
      <w:r>
        <w:t xml:space="preserve">(5) Der Bund kann sich an den Kosten für die Instandhaltung von Anlagen zur Herstellung von Barrierefreiheit an Verkehrsstationen oder für freiwillige Lärmsanierungsmaßnahmen an bestehenden Schienenwegen der Eisenbahnen des Bundes beteiligen, soweit die Errichtung solcher Anlagen oder die Durchführung solcher Maßnahmen</w:t>
      </w:r>
    </w:p>
    <w:p>
      <w:pPr>
        <w:ind w:left="420"/>
      </w:pPr>
      <w:r>
        <w:t xml:space="preserve">1. auf Initiative des Bundes und ohne Mitbestimmung der Länder erfolgt ist und</w:t>
      </w:r>
    </w:p>
    <w:p>
      <w:pPr>
        <w:ind w:left="420"/>
      </w:pPr>
      <w:r>
        <w:t xml:space="preserve">2. vom Bund ganz oder teilweise finanziert worden sind.</w:t>
      </w:r>
    </w:p>
    <w:p>
      <w:r>
        <w:t xml:space="preserve">(6) Werden Ersatzinvestitionen bei Verkehrsstationen vorgenommen, kann der Bund diese auch dann finanzieren, wenn durch die Ersatzinvestitionen die Verkehrsstationen für den zukünftigen verkehrlichen Bedarf ertüchtigt werden. Dabei ist die Überprüfung nach § 4 Absatz 1 zu berücksichtigen.</w:t>
      </w:r>
    </w:p>
    <w:p>
      <w:r>
        <w:t xml:space="preserve">(7) Die Eisenbahnen des Bundes haben die für das Bestandsnetz zur Verfügung gestellten Haushaltsmittel für Generalsanierungen der insbesondere in § 11c Absatz 2 Satz 1 benannten Hochleistungskorridore und für die Erhaltung, Erneuerung und Digitalisierung der übrigen Schienenwege der Eisenbahnen des Bundes einzusetzen.</w:t>
      </w:r>
    </w:p>
    <w:p>
      <w:r>
        <w:t xml:space="preserve">(8) Die operative Steuerung des infrastruktur- und fahrzeugseitigen Rollouts der Digitalisierung der Schiene nach Absatz 4 erfolgt durch eine Koordinierungsstelle. Diese wird in Zusammenarbeit der betroffenen Eisenbahnverkehrsunternehmen, Eisenbahninfrastrukturunternehmen der Eisenbahnen des Bundes, Länder und Aufgabenträger errichtet und betrieben. Das Bundesministerium für Verkehr unterstützt die Arbeit der Koordinierungsstelle.</w:t>
      </w:r>
    </w:p>
    <w:p>
      <w:r>
        <w:rPr>
          <w:color w:val="555555"/>
          <w:sz w:val="17"/>
        </w:rPr>
        <w:t xml:space="preserve">Zitiervorschlag: § 11a BSWAG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https://recht.nulegal.eu/gesetze/BSWAG/11a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