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BSWAG — Ersatzinvestitionen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Ersatzinvestitionen werden nicht in den Bedarfsplan aufgenommen.</w:t>
      </w:r>
    </w:p>
    <w:p>
      <w:r>
        <w:t xml:space="preserve">(2) Für die Finanzierung und Baudurchführung der Ersatzinvestitionen gelten die §§ 9, 9a und 10 entsprechend.</w:t>
      </w:r>
    </w:p>
    <w:p>
      <w:r>
        <w:rPr>
          <w:color w:val="555555"/>
          <w:sz w:val="17"/>
        </w:rPr>
        <w:t xml:space="preserve">Zitiervorschlag: § 11 BSWAG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