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BSWAG — Ausbau des Schienenwegenetzes des Bundes</w:t>
      </w:r>
    </w:p>
    <w:p>
      <w:r>
        <w:rPr>
          <w:color w:val="555555"/>
          <w:sz w:val="18"/>
        </w:rPr>
        <w:t xml:space="preserve">Bundesschienenwegeausbaugesetz</w:t>
      </w:r>
    </w:p>
    <w:p>
      <w:r>
        <w:rPr>
          <w:color w:val="555555"/>
          <w:sz w:val="18"/>
        </w:rPr>
        <w:t xml:space="preserve">Stand: 31.07.2026 (konsolidierte Textfassung, kein amtliches Inkrafttretensdatum)</w:t>
      </w:r>
    </w:p>
    <w:p>
      <w:r>
        <w:t xml:space="preserve">(1) Das Schienenwegenetz der Eisenbahnen des Bundes wird nach dem Bedarfsplan für die Bundesschienenwege ausgebaut, der diesem Gesetz als Anlage beigefügt ist.</w:t>
      </w:r>
    </w:p>
    <w:p>
      <w:r>
        <w:t xml:space="preserve">(2) Die Feststellung des Bedarfs im Bedarfsplan ist für die Planfeststellung nach § 18 des Allgemeinen Eisenbahngesetzes verbindlich.</w:t>
      </w:r>
    </w:p>
    <w:p>
      <w:r>
        <w:t xml:space="preserve">(3) Der Ausbau, Neubau und Ersatzneubau von Schienenwegen der Eisenbahnen des Bundes liegt im überragenden öffentlichen Interesse und dient der öffentlichen Sicherheit. Dies gilt insbesondere für den Bau oder die Änderung eines Bundesschienenweges, der fest disponiert ist oder für den der Bedarfsplan einen Vordringlichen Bedarf feststellt sowie für folgende Vorhaben und Maßnahmen in Bezug auf die Bundesschienenwege:</w:t>
      </w:r>
    </w:p>
    <w:p>
      <w:pPr>
        <w:ind w:left="420"/>
      </w:pPr>
      <w:r>
        <w:t xml:space="preserve">1. Vorhaben zur Verbesserung der Verkehrsverhältnisse für den Schienenpersonennahverkehr, deren Finanzierung ganz oder teilweise mit Mitteln auf Grundlage des Gemeindeverkehrsfinanzierungsgesetzes erfolgt,</w:t>
      </w:r>
    </w:p>
    <w:p>
      <w:pPr>
        <w:ind w:left="420"/>
      </w:pPr>
      <w:r>
        <w:t xml:space="preserve">2. Vorhaben, die in Anlage 4 Abschnitt 2 und Anlage 5 Abschnitt 2 zum Investitionsgesetz Kohleregionen vom 8. August 2020 (BGBl. I S. 1795), das durch Artikel 9 des Gesetzes vom 22. Dezember 2023 (BGBl. 2023 I Nr. 409) geändert worden ist, bezeichnet sind,</w:t>
      </w:r>
    </w:p>
    <w:p>
      <w:pPr>
        <w:ind w:left="420"/>
      </w:pPr>
      <w:r>
        <w:t xml:space="preserve">3. mehrere Schienenwegabschnitte übergreifende Maßnahmen zur Änderung, Unterhaltung, Instandsetzung und Erneuerung von Betriebsanlagen, die mindestens einen nach § 55 Absatz 1 Satz 1 des Eisenbahnregulierungsgesetzes als überlastet erklärten Schienenweg umfassen,</w:t>
      </w:r>
    </w:p>
    <w:p>
      <w:pPr>
        <w:ind w:left="420"/>
      </w:pPr>
      <w:r>
        <w:t xml:space="preserve">4. Maßnahmen zur Digitalisierung von Schienenwegen und Schienenknoten, soweit das Unionsrecht eine Pflicht zur durchgehenden Ausrüstung der Schienenverkehrsinfrastruktur des Kernnetzes mit dem Europäischen Eisenbahnverkehrsleitsystem vorschreibt, sowie</w:t>
      </w:r>
    </w:p>
    <w:p>
      <w:pPr>
        <w:ind w:left="420"/>
      </w:pPr>
      <w:r>
        <w:t xml:space="preserve">5. Maßnahmen zur Herstellung des Transformatorennetzes nach § 53b Absatz 2 Satz 1 des Energiewirtschaftsgesetz vom 7. Juli 2005 (BGBl. I S. 1970, 3621), das zuletzt durch Artikel 5 des Gesetzes vom 29. März 2026 (BGBl. 2026 I Nr. 84) geändert worden ist.</w:t>
      </w:r>
    </w:p>
    <w:p>
      <w:r>
        <w:rPr>
          <w:color w:val="555555"/>
          <w:sz w:val="17"/>
        </w:rPr>
        <w:t xml:space="preserve">Zitiervorschlag: § 1 BSWAG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