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BSVV (Bayern)</w:t>
      </w:r>
    </w:p>
    <w:p>
      <w:r>
        <w:rPr>
          <w:color w:val="555555"/>
          <w:sz w:val="18"/>
        </w:rPr>
        <w:t xml:space="preserve">Verordnung über die Bayerische Verwaltung der staatlichen Schlösser, Gärten und Seen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14. Dezember 2001</w:t>
      </w:r>
    </w:p>
    <w:p>
      <w:r>
        <w:t xml:space="preserve">Bayerisches Staatsministerium der Finanzen</w:t>
      </w:r>
    </w:p>
    <w:p>
      <w:r>
        <w:t xml:space="preserve">Prof. Dr. Kurt Faltlhauser, Staatsminister</w:t>
      </w:r>
    </w:p>
    <w:p>
      <w:r>
        <w:rPr>
          <w:color w:val="555555"/>
          <w:sz w:val="17"/>
        </w:rPr>
        <w:t xml:space="preserve">Zitiervorschlag: Schlussformel BSVV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