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BSVV (Bayern)</w:t>
      </w:r>
    </w:p>
    <w:p>
      <w:r>
        <w:rPr>
          <w:color w:val="555555"/>
          <w:sz w:val="18"/>
        </w:rPr>
        <w:t xml:space="preserve">Verordnung über die Bayerische Verwaltung der staatlichen Schlösser, Gärten und Seen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2002 in Kraft</w:t>
      </w:r>
    </w:p>
    <w:p>
      <w:r>
        <w:rPr>
          <w:color w:val="555555"/>
          <w:sz w:val="17"/>
        </w:rPr>
        <w:t xml:space="preserve">Zitiervorschlag: § 4 BSVV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