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BSV (Brandenburg) — Dauer des Bildungsgangs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Dauer des Schulbesuchs richtet sich gemäß den §§ 5 und 6 des Berufsbildungsgesetzes oder gemäß den §§ 26 und 42m der Handwerksordnung nach den Ausbildungsordnungen oder Ausbildungsregelungen.</w:t>
      </w:r>
    </w:p>
    <w:p>
      <w:r>
        <w:t xml:space="preserve">(2) Gemäß den §§ 7 und 8 des Berufsbildungsgesetzes oder den §§ 27a und 27b der Handwerksordnung sind Anrechnungen beruflicher Vorbildungen auf die Ausbildungszeit ebenso möglich wie deren Verkürzung und Verlängerung.</w:t>
      </w:r>
    </w:p>
    <w:p>
      <w:r>
        <w:t xml:space="preserve">(3) Besteht die Schülerin oder der Schüler die Abschlussprüfung vor Ablauf der Ausbildungszeit, so endet der Bildungsgang mit Bestehen der Abschlussprüfung.</w:t>
      </w:r>
    </w:p>
    <w:p>
      <w:r>
        <w:t xml:space="preserve">(4) Verlängert sich die Berufsausbildung, so organisiert das Oberstufenzentrum den Schulbesuch nach Maßgabe der im Einzelfall angemessenen Förderung.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