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BSV (Brandenburg) — Aufnahmevoraussetzungen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Bildungsgang gemäß § 1 Absatz 3 Nummer 1 wird aufgenommen, wer sich in einem Ausbildungsverhältnis auf Grund eines Berufsausbildungsvertrages gemäß Berufsbildungsgesetz oder Handwerksordnung befindet. Die Aufnahme erfolgt in der Regel zu Beginn des Schuljahres.</w:t>
      </w:r>
    </w:p>
    <w:p>
      <w:r>
        <w:t xml:space="preserve">(2) Die Aufnahme von Teilnehmerinnen und Teilnehmern in Umschulungsmaßnahmen der Bundesagentur für Arbeit oder in betriebliche Einzelumschulungsmaßnahmen erfolgt nach Maßgabe der personellen, sächlichen und schulorganisatorischen Voraussetzungen.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