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BSV (Brandenburg) — Inkrafttreten, Außerkrafttreten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am 1. August 2016 in Kraft.</w:t>
      </w:r>
    </w:p>
    <w:p>
      <w:r>
        <w:t xml:space="preserve">(2) Gleichzeitig treten</w:t>
      </w:r>
    </w:p>
    <w:p>
      <w:r>
        <w:t xml:space="preserve">die Berufsschulverordnung vom 5. April 2002 (GVBl. II S. 335), die durch Verordnung vom 11. August 2008 (GVBl. II S. 334) geändert worden ist, und</w:t>
      </w:r>
    </w:p>
    <w:p>
      <w:r>
        <w:t xml:space="preserve">die Berufsfachschulverordnung Berufsabschluss nach BBiG oder HwO vom 3. Juli 1997 (GVBl. II S. 610), die zuletzt durch Verordnung vom 25. Juni 2004 (GVBl. II S. 502) geändert worden ist,</w:t>
      </w:r>
    </w:p>
    <w:p>
      <w:r>
        <w:t xml:space="preserve">außer Kraft.</w:t>
      </w:r>
    </w:p>
    <w:p>
      <w:r>
        <w:t xml:space="preserve">Einzelnorm</w:t>
      </w:r>
    </w:p>
    <w:p>
      <w:r>
        <w:t xml:space="preserve">Potsdam, den 28. April 2016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30 BSV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