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BSV (Brandenburg) — Übergangsvorschriften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Schülerinnen und Schüler, die sich vor Inkrafttreten dieser Verordnung in einem Bildungsgang gemäß § 1 Absatz 3 Nummer 1 befinden, ist § 15 Absatz 5 nicht anzuwenden.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29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