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BSV (Brandenburg) — Klassenbildung</w:t>
      </w:r>
    </w:p>
    <w:p>
      <w:r>
        <w:rPr>
          <w:color w:val="555555"/>
          <w:sz w:val="18"/>
        </w:rPr>
        <w:t xml:space="preserve">Berufsschulverordnung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Schülerinnen und Schüler mit sonderpädagogischem Förderbedarf besuchen in der Regel im gemeinsamen Unterricht die Klassen in den Bildungsgängen gemäß § 1 Absatz 3 Nummer 1 und 2. Mit Genehmigung des für Schule zuständigen Ministeriums können auch Förderklassen in den Förderschwerpunkten „körperliche und motorische Entwicklung“, „Hören“ oder „Sehen“ eingerichtet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27 BSV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