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BSV (Brandenburg) — Ziel und Dauer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Schülerinnen und Schüler mit sonderpädagogischem Förderbedarf besuchen die Bildungsgänge gemäß § 1 Absatz 3 Nummer 1 und 2 entsprechend dem Ziel und der Dauer des Bildungsgangs.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25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