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BSV (Brandenburg) — Organisation der Bildungsgänge</w:t>
      </w:r>
    </w:p>
    <w:p>
      <w:r>
        <w:rPr>
          <w:color w:val="555555"/>
          <w:sz w:val="18"/>
        </w:rPr>
        <w:t xml:space="preserve">Berufsschulverordnung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den Bildungsgängen zur Vertiefung der Allgemeinbildung und zur Berufsorientierung, Berufsvorbereitung oder Berufsausbildungsvorbereitung gemäß § 1 Absatz 3 Nummer 2 werden Schülerinnen und Schülern berufsorientierende oder berufsvorbereitende und grundlegende allgemein bildende Bildungsinhalte vermittelt. Die Bildungsgänge dauern in der Regel ein Schuljahr.</w:t>
      </w:r>
    </w:p>
    <w:p>
      <w:r>
        <w:t xml:space="preserve">(2) Der Unterricht ist auf der Grundlage der Rahmenstundentafeln gemäß Anlage 2 für die Bildungsgänge im berufsvorbereitenden und berufsübergreifenden Bereich durchzuführen.</w:t>
      </w:r>
    </w:p>
    <w:p>
      <w:r>
        <w:t xml:space="preserve">(3) Der Unterricht wird in Teilzeitform erteilt. Er umfasst 7 bis 16 Unterrichtsstunden pro Woche. Die Unterrichtsorganisation erfolgt im Benehmen mit dem Träger der Maßnahme.</w:t>
      </w:r>
    </w:p>
    <w:p>
      <w:r>
        <w:t xml:space="preserve">(4) Die Schülerinnen und Schüler werden vom Maßnahmenträger angemeldet.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21 BSV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