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BSV (Brandenburg) — Gleichstellung von Abschlüssen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Erwerb gleichgestellter Abschlüsse stellt die Klassenkonferenz fest.</w:t>
      </w:r>
    </w:p>
    <w:p>
      <w:r>
        <w:t xml:space="preserve">(2) Einen der erweiterten Berufsbildungsreife gleichgestellten Abschluss erwirbt, wer den Bildungsgang gemäß § 1 Absatz 3 Nummer 1 erfolgreich abschließt.</w:t>
      </w:r>
    </w:p>
    <w:p>
      <w:r>
        <w:t xml:space="preserve">(3) Einen der Fachoberschulreife gleichgestellten Abschluss erwirbt, wer</w:t>
      </w:r>
    </w:p>
    <w:p>
      <w:r>
        <w:t xml:space="preserve">den erfolgreichen Abschluss einer Berufsausbildung gemäß Berufsbildungsgesetz oder Handwerksordnung in einem anerkannten Ausbildungsberuf mit einer Regelausbildungsdauer von mindestens zwei Jahren nachweist,</w:t>
      </w:r>
    </w:p>
    <w:p>
      <w:r>
        <w:t xml:space="preserve">im Abschlusszeugnis des Bildungsgangs gemäß § 1 Absatz 3 Nummer 1 einen Gesamtnotendurchschnitt von mindestens 3,0 erreicht hat sowie</w:t>
      </w:r>
    </w:p>
    <w:p>
      <w:r>
        <w:t xml:space="preserve">Fremdsprachenkenntnisse entsprechend einem mindestens fünfjährigen Fremdsprachenunterricht nachweist, der mit mindestens ausreichenden Leistungen abgeschlossen wurde.</w:t>
      </w:r>
    </w:p>
    <w:p>
      <w:r>
        <w:t xml:space="preserve">Das zuständige staatliche Schulamt kann im Einzelfall zulassen, dass der Nachweis der Fremdsprachenkenntnisse gemäß Nummer 3 durch eine Sprachfeststellungsprüfung gemäß den Bestimmungen der Eingliederungsverordnung erfolgt. An die Stelle der Sprachfeststellungsprüfung kann insbesondere das KMK-Fremdsprachenzertifikat im Kompetenzbereich Stufe I (A2 = Elementare Sprachverwendung) gemäß der „Rahmenvereinbarung über die Zertifizierung von Fremdsprachenkenntnissen in der beruflichen Bildung“ (Beschluss der Kultusministerkonferenz) treten.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