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BSV (Brandenburg) — Stundentafeln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Unterricht ist auf der Grundlage der Rahmenstundentafel gemäß Anlage 1 für Berufe im berufsbezogenen und berufsübergreifenden Bereich durchzuführen.</w:t>
      </w:r>
    </w:p>
    <w:p>
      <w:r>
        <w:t xml:space="preserve">(2) Für Berufe im Bildungsgang gemäß § 1 Absatz 3 Nummer 1, in denen besondere zusätzliche berufliche Qualifikationen nach Maßgabe entsprechender Festlegungen im Berufsausbildungsvertrag vermittelt werden, werden von den Oberstufenzentren gesonderte Stundentafeln festgelegt.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