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(Brandenburg) — Geltungsbereich, Bildungsgänge und Ziele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Bestimmungen dieser Verordnung gelten für Schülerinnen und Schüler</w:t>
      </w:r>
    </w:p>
    <w:p>
      <w:r>
        <w:t xml:space="preserve">mit einem Berufsausbildungsvertrag gemäß Berufsbildungsgesetz oder Handwerksordnung,</w:t>
      </w:r>
    </w:p>
    <w:p>
      <w:r>
        <w:t xml:space="preserve">mit einer Fördervereinbarung der Bundesagentur für Arbeit oder</w:t>
      </w:r>
    </w:p>
    <w:p>
      <w:r>
        <w:t xml:space="preserve">mit einem Arbeitsvertrag.</w:t>
      </w:r>
    </w:p>
    <w:p>
      <w:r>
        <w:t xml:space="preserve">(2) Die Bildungsgänge werden in Oberstufenzentren eingerichtet.</w:t>
      </w:r>
    </w:p>
    <w:p>
      <w:r>
        <w:t xml:space="preserve">(3) Die Bildungsgänge der Berufsschule sind</w:t>
      </w:r>
    </w:p>
    <w:p>
      <w:r>
        <w:t xml:space="preserve">der Bildungsgang zur Vermittlung des schulischen Teils einer Berufsausbildung gemäß Berufsbildungsgesetz oder Handwerksordnung und</w:t>
      </w:r>
    </w:p>
    <w:p>
      <w:r>
        <w:t xml:space="preserve">die Bildungsgänge zur Vertiefung der Allgemeinbildung und zur Berufsorientierung, Berufsvorbereitung oder Berufsausbildungsvorbereitung.</w:t>
      </w:r>
    </w:p>
    <w:p>
      <w:r>
        <w:t xml:space="preserve">(4) Die Bildungsgänge der Berufsschule haben auf der Grundlage der §§ 4 und 25 des Brandenburgischen Schulgesetzes in Verbindung mit der Rahmenvereinbarung über die Berufsschule (Beschluss der Kultusministerkonferenz) insbesondere zum Ziel, eine berufliche Handlungskompetenz zu entwickeln.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