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BSV 2012</w:t>
      </w:r>
    </w:p>
    <w:p>
      <w:r>
        <w:rPr>
          <w:color w:val="555555"/>
          <w:sz w:val="18"/>
        </w:rPr>
        <w:t xml:space="preserve">Beitragssatzverordnung 2012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BSV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https://recht.nulegal.eu/gesetze/BSV%202012/schlussformel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