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BSV 2012</w:t>
      </w:r>
    </w:p>
    <w:p>
      <w:r>
        <w:rPr>
          <w:color w:val="555555"/>
          <w:sz w:val="18"/>
        </w:rPr>
        <w:t xml:space="preserve">Beitragssatzverordnung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160 Nummer 1 in Verbindung mit § 158 Absatz 1 bis 3 des Sechsten Buches Sozialgesetzbuch – Gesetzliche Rentenversicherung –, von denen § 158 Absatz 1 zuletzt durch Artikel 1 Nummer 25 Buchstabe a des Gesetzes vom 9. Dezember 2004 (BGBl. I S. 3242), Absatz 2 zuletzt durch Artikel 5 Nummer 3 des Gesetzes vom 2. Dezember 2006 (BGBl. I S. 2742) und Absatz 3 durch Artikel 1 Nummer 25 Buchstabe b des Gesetzes vom 9. Dezember 2004 (BGBl. I S. 3242) geändert worden ist, verordnet die Bundesregierung:</w:t>
      </w:r>
    </w:p>
    <w:p>
      <w:r>
        <w:rPr>
          <w:color w:val="555555"/>
          <w:sz w:val="17"/>
        </w:rPr>
        <w:t xml:space="preserve">Zitiervorschlag: Eingangsformel BSV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https://recht.nulegal.eu/gesetze/BSV%202012/eingangsformel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