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BSO-F (Bayern) — Veranstaltungen Dritter, Sammlungen und Spenden, finanzielle Abwicklung sonstiger schulischer Veranstaltungen, Haftpflichtversicherung</w:t>
      </w:r>
    </w:p>
    <w:p>
      <w:r>
        <w:rPr>
          <w:color w:val="555555"/>
          <w:sz w:val="18"/>
        </w:rPr>
        <w:t xml:space="preserve">Förderberufsschulordnung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§§ 22, 23 und § 51 BSO gelten entsprechend.</w:t>
      </w:r>
    </w:p>
    <w:p>
      <w:r>
        <w:rPr>
          <w:color w:val="555555"/>
          <w:sz w:val="17"/>
        </w:rPr>
        <w:t xml:space="preserve">Zitiervorschlag: § 5 BSO-F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https://recht.nulegal.eu/gesetze/BSO-F/5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