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BSO-F (Bayern) — Schulleiterin und Schulleiter, Lehrkräfte, Schülerinnen und Schüler, Berufsschulbeirat (vgl. Art. 57, 58, 62, 63, 70 bis 72 und 36 bis 38 BayEUG)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Schulleiterin bzw. der Schulleiter oder die stellvertretende Schulleiterin bzw. der stellvertretende Schulleiter muss die Befähigung zum Lehramt an Sonderschulen bzw. für Sonderpädagogik besitzen; darüber hinaus soll eine der genannten Personen die Befähigung zum Lehramt an beruflichen Schulen besitzen.</w:t>
      </w:r>
    </w:p>
    <w:p>
      <w:r>
        <w:t xml:space="preserve">(2) §§ 4 bis 20 BSO sowie § 36 der Schulordnung für die Volksschulen zur sonderpädagogischen Entwicklung (VSO-F) gelten entsprechend. § 16 Abs. 2 Nr. 6 BSO gilt auch für den Fall, dass eine Sonderpädagogische Stütz- und Förderklasse eingerichtet ist oder Schülerinnen und Schüler Maßnahmen der Arbeitsweltbezogenen Jugendsozialarbeit besuchen.</w:t>
      </w:r>
    </w:p>
    <w:p>
      <w:r>
        <w:rPr>
          <w:color w:val="555555"/>
          <w:sz w:val="17"/>
        </w:rPr>
        <w:t xml:space="preserve">Zitiervorschlag: § 4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