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BSO-F (Bayern) — Inkrafttreten, Außerkrafttreten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August 2009 in Kraft. Abweichend von Satz 1 tritt § 4 Abs. 1 am 1. August 2010 in Kraft; die mit Wirkung bis spätestens 31. Juli 2010 erfolgten Stellenbesetzungen bleiben unberührt.</w:t>
      </w:r>
    </w:p>
    <w:p>
      <w:r>
        <w:t xml:space="preserve">(2) Mit Ablauf des 31. Juli 2009 tritt die Schulordnung für die Berufsschulen für Behinderte vom 10. August 1989 (GVBl. S. 421, BayRS 2233-2-2-UK), zuletzt geändert durch Verordnung vom 31. August 1998 (GVBl. S. 656), außer Kraft.</w:t>
      </w:r>
    </w:p>
    <w:p>
      <w:r>
        <w:rPr>
          <w:color w:val="555555"/>
          <w:sz w:val="17"/>
        </w:rPr>
        <w:t xml:space="preserve">Zitiervorschlag: § 36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