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BSO-F (Bayern) — Stundentafeln und Stundenpläne, Religionsunterricht, Ethikunterricht, Unterrichtszeit</w:t>
      </w:r>
    </w:p>
    <w:p>
      <w:r>
        <w:rPr>
          <w:color w:val="555555"/>
          <w:sz w:val="18"/>
        </w:rPr>
        <w:t xml:space="preserve">Förderberufsschulordnung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Stundentafeln und Stundenpläne gelten die Stundentafeln in der Anlage; im Übrigen gilt § 36 BSO entsprechend.</w:t>
      </w:r>
    </w:p>
    <w:p>
      <w:r>
        <w:t xml:space="preserve">(2) §§ 37 bis 39 BSO gelten entsprechend.</w:t>
      </w:r>
    </w:p>
    <w:p>
      <w:r>
        <w:rPr>
          <w:color w:val="555555"/>
          <w:sz w:val="17"/>
        </w:rPr>
        <w:t xml:space="preserve">Zitiervorschlag: § 27 BSO-F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https://recht.nulegal.eu/gesetze/BSO-F/27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