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BSO-F (Bayern) — Teilnahme, Beurlaubung, Befreiung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Teilnahme am Unterricht und an sonstigen Schulveranstaltungen gilt § 31 BSO, für die Verhinderung von Schülerinnen und Schülern § 32 BSO entsprechend.</w:t>
      </w:r>
    </w:p>
    <w:p>
      <w:r>
        <w:t xml:space="preserve">(2) Über Anträge auf Befreiung vom Besuch der Berufsschule nach Art. 41 Abs. 6 Satz 1 in Verbindung mit Art. 39 Abs. 4 BayEUG entscheidet die öffentliche oder staatlich anerkannte Schule und im Übrigen die für die Schule örtlich zuständige Regierung; § 33 BSO gilt entsprechend.</w:t>
      </w:r>
    </w:p>
    <w:p>
      <w:r>
        <w:t xml:space="preserve">(3) Für die Beurlaubung von Schülerinnen und Schülern gelten § 34 und § 39 Abs. 6 Sätze 3 und 4 BSO entsprechend.</w:t>
      </w:r>
    </w:p>
    <w:p>
      <w:r>
        <w:rPr>
          <w:color w:val="555555"/>
          <w:sz w:val="17"/>
        </w:rPr>
        <w:t xml:space="preserve">Zitiervorschlag: § 25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