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BSO-F (Bayern) — Klassenstärken und Gruppenbildung</w:t>
      </w:r>
    </w:p>
    <w:p>
      <w:r>
        <w:rPr>
          <w:color w:val="555555"/>
          <w:sz w:val="18"/>
        </w:rPr>
        <w:t xml:space="preserve">Förderberufsschulordnung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Maßgebend für die Klassen- und Gruppenbildung an Berufsschulen zur sonderpädagogischen Förderung und für die Versorgung mit Lehrkräften sind die Richtlinien des Staatsministeriums für Unterricht und Kultus über die Klassen- und Gruppenbildung. Unterricht in Wahlfächern kann nur erteilt werden, wenn die Zahl der Teilnehmerinnen und Teilnehmer mindestens die Hälfte der für die Klassenbildung festgelegten Höchstschülerzahlen erreicht.</w:t>
      </w:r>
    </w:p>
    <w:p>
      <w:r>
        <w:t xml:space="preserve">(2) Bei der Klassenbildung ist auf die Schülerzahlen abzustellen, die voraussichtlich zum 20. Oktober des Jahres erreicht werden.</w:t>
      </w:r>
    </w:p>
    <w:p>
      <w:r>
        <w:rPr>
          <w:color w:val="555555"/>
          <w:sz w:val="17"/>
        </w:rPr>
        <w:t xml:space="preserve">Zitiervorschlag: § 21 BSO-F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https://recht.nulegal.eu/gesetze/BSO-F/21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