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BSNotFPrV — Evaluierung</w:t>
      </w:r>
    </w:p>
    <w:p>
      <w:r>
        <w:rPr>
          <w:color w:val="555555"/>
          <w:sz w:val="18"/>
        </w:rPr>
        <w:t xml:space="preserve">Geprüfter-Berufsspezialist-Notariat-Fortbildungsprüfungsverordnung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Eine Evaluierung dieser Verordnung soll zehn Jahre nach Inkrafttreten erfolgen. Gegenstand der Evaluierung sollen insbesondere die in den §§ 4 bis 6 geregelten Qualifikationsinhalte, die in § 12 Absatz 2 geregelte Gewichtung der Bewertungen sowie das Verhältnis dieser Verordnung zur Bachelor-Professional-Notariat-Fortbildungsprüfungsverordnung sein. Dabei soll insbesondere die Anzahl der nach den beiden Verordnungen abgelegten Prüfungen berücksichtigt werden.</w:t>
      </w:r>
    </w:p>
    <w:p>
      <w:r>
        <w:rPr>
          <w:color w:val="555555"/>
          <w:sz w:val="17"/>
        </w:rPr>
        <w:t xml:space="preserve">Zitiervorschlag: § 17 BSNotFPrV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https://recht.nulegal.eu/gesetze/BSNotFPrV/17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