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BSIZertV 2014 — Anerkennung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Eine Anerkennung nach § 52 Absatz 7 des BSI-Gesetzes wird erteilt, wenn</w:t>
      </w:r>
    </w:p>
    <w:p>
      <w:pPr>
        <w:ind w:left="420"/>
      </w:pPr>
      <w:r>
        <w:t xml:space="preserve">1. die Prüfung und die Bewertung ergeben, dass die sachliche und personelle Ausstattung sowie die fachliche Qualifikation und Zuverlässigkeit der Konformitätsbewertungsstelle die Prüfkriterien nach § 4 Absatz 1 erfüllen, und</w:t>
      </w:r>
    </w:p>
    <w:p>
      <w:pPr>
        <w:ind w:left="420"/>
      </w:pPr>
      <w:r>
        <w:t xml:space="preserve">2. das Bundesministerium des Innern, für Bau und Heimat nach § 52 Absatz 7 Satz 1 Nummer 2 des BSI-Gesetzes festgestellt hat, dass überwiegende öffentliche Interessen, insbesondere sicherheitspolitische Belange der Bundesrepublik Deutschland, der Erteilung nicht entgegenstehen.</w:t>
      </w:r>
    </w:p>
    <w:p>
      <w:r>
        <w:t xml:space="preserve">(2) Die Anerkennung ist vom Bundesamt zu befristen. Das Bundesamt setzt die Geltungsdauer für den jeweiligen technischen Geltungsbereich fest.</w:t>
      </w:r>
    </w:p>
    <w:p>
      <w:r>
        <w:t xml:space="preserve">(3) Die Anerkennung enthält folgende Angaben:</w:t>
      </w:r>
    </w:p>
    <w:p>
      <w:pPr>
        <w:ind w:left="420"/>
      </w:pPr>
      <w:r>
        <w:t xml:space="preserve">1. den Name und die Adresse der anerkannten sachverständigen Stelle und aller anerkannten Standorte,</w:t>
      </w:r>
    </w:p>
    <w:p>
      <w:pPr>
        <w:ind w:left="420"/>
      </w:pPr>
      <w:r>
        <w:t xml:space="preserve">2. die Anerkennungsnummer,</w:t>
      </w:r>
    </w:p>
    <w:p>
      <w:pPr>
        <w:ind w:left="420"/>
      </w:pPr>
      <w:r>
        <w:t xml:space="preserve">3. die Geltungsdauer der Anerkennung,</w:t>
      </w:r>
    </w:p>
    <w:p>
      <w:pPr>
        <w:ind w:left="420"/>
      </w:pPr>
      <w:r>
        <w:t xml:space="preserve">4. den technischen Geltungsbereich oder die technischen Geltungsbereiche der Anerkennung unter Verweis auf die zugrunde gelegten Standardisierungsnormen,</w:t>
      </w:r>
    </w:p>
    <w:p>
      <w:pPr>
        <w:ind w:left="420"/>
      </w:pPr>
      <w:r>
        <w:t xml:space="preserve">5. die Angabe der Standardisierungsnormen, die der Begutachtung der Stelle zugrunde lagen,</w:t>
      </w:r>
    </w:p>
    <w:p>
      <w:pPr>
        <w:ind w:left="420"/>
      </w:pPr>
      <w:r>
        <w:t xml:space="preserve">6. etwaige Nebenbestimmungen nach § 22 sowie</w:t>
      </w:r>
    </w:p>
    <w:p>
      <w:pPr>
        <w:ind w:left="420"/>
      </w:pPr>
      <w:r>
        <w:t xml:space="preserve">7. Ausstellungsort und -datum der Anerkennungsurkunde.</w:t>
      </w:r>
    </w:p>
    <w:p>
      <w:r>
        <w:t xml:space="preserve">(4) Das Bundesamt überprüft regelmäßig nach § 52 Absatz 7 Satz 2 des BSI-Gesetzes, ob die Voraussetzungen für die Anerkennung nach Absatz 1 weiterhin vorliegen. Daneben kann auch jederzeit eine anlassbezogene Überprüfung stattfinden. Das Bundesamt entwickelt für diese Überprüfungen Verfahrensbeschreibungen und veröffentlicht diese auf seiner Internetseite.</w:t>
      </w:r>
    </w:p>
    <w:p>
      <w:r>
        <w:rPr>
          <w:color w:val="555555"/>
          <w:sz w:val="17"/>
        </w:rPr>
        <w:t xml:space="preserve">Zitiervorschlag: § 21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