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BSIG 2025 — Kontrolle der Kommunikationstechnik des Bundes, Betretensrechte</w:t>
      </w:r>
    </w:p>
    <w:p>
      <w:r>
        <w:rPr>
          <w:color w:val="555555"/>
          <w:sz w:val="18"/>
        </w:rPr>
        <w:t xml:space="preserve">BSI-Gesetz</w:t>
      </w:r>
    </w:p>
    <w:p>
      <w:r>
        <w:rPr>
          <w:color w:val="555555"/>
          <w:sz w:val="18"/>
        </w:rPr>
        <w:t xml:space="preserve">Stand: 07.12.2025 (konsolidierte Textfassung, kein amtliches Inkrafttretensdatum)</w:t>
      </w:r>
    </w:p>
    <w:p>
      <w:r>
        <w:t xml:space="preserve">(1) Das Bundesamt ist befugt, die Sicherheit der Kommunikationstechnik des Bundes und ihrer Komponenten, einschließlich technischer Infrastrukturen, die zum Betrieb der Kommunikationstechnik des Bundes erforderlich sind, zu kontrollieren. Es kann hierzu</w:t>
      </w:r>
    </w:p>
    <w:p>
      <w:pPr>
        <w:ind w:left="420"/>
      </w:pPr>
      <w:r>
        <w:t xml:space="preserve">1. die Bereitstellung der zur Erfüllung der Aufgaben nach § 3 Absatz 1 Satz 2 Nummer 1 und 20 erforderlichen Informationen, insbesondere zu technischen Details, zu Strategien, Planungen und Regelungen mit Bezug zur Kommunikationstechnik des Bundes einschließlich Aufbau- und Ablauforganisation verlangen sowie</w:t>
      </w:r>
    </w:p>
    <w:p>
      <w:pPr>
        <w:ind w:left="420"/>
      </w:pPr>
      <w:r>
        <w:t xml:space="preserve">2. Unterlagen und Datenträger des Betreibers der jeweiligen Kommunikationstechnik des Bundes oder eines mit Betriebsleistungen beauftragten Dritten einsehen und die unentgeltliche Herausgabe von Kopien dieser Unterlagen und Dokumente, auch in elektronischer Form, verlangen, soweit nicht Geheimschutzinteressen oder überwiegende Sicherheitsinteressen des Betreibers entgegenstehen.</w:t>
      </w:r>
    </w:p>
    <w:p>
      <w:r>
        <w:t xml:space="preserve">(2) Dem Bundesamt ist in den Zeiten, zu denen die Räume normalerweise für die jeweilige geschäftliche oder betriebliche Nutzung zur Verfügung stehen, Zugang zu den Grundstücken und Betriebsräumen, einschließlich Datenverarbeitungsanlagen und -geräten, die für die Kommunikationstechnik des Bundes verwendet werden, zu gewähren, soweit dies zur Erfüllung der Zwecke nach Absatz 1 erforderlich ist.</w:t>
      </w:r>
    </w:p>
    <w:p>
      <w:r>
        <w:t xml:space="preserve">(3) Bei Anlagen eines Dritten, bei dem eine Schnittstelle zur Kommunikationstechnik des Bundes besteht, kann das Bundesamt auf der Schnittstellenseite der Einrichtung nur mit Zustimmung des Dritten die Sicherheit der Schnittstelle kontrollieren. Es kann hierzu mit Zustimmung des Dritten die zur Aufgabenerfüllung erforderlichen Informationen, insbesondere zu technischen Details, zu Strategien, Planungen und Regelungen einsehen sowie Unterlagen und Datenträger des Betreibers einsehen und unentgeltlich Kopien, auch in elektronischer Form, anfertigen.</w:t>
      </w:r>
    </w:p>
    <w:p>
      <w:r>
        <w:t xml:space="preserve">(4) Das Bundesamt informiert über das Ergebnis seiner Kontrolle nach den Absätzen 1 bis 3</w:t>
      </w:r>
    </w:p>
    <w:p>
      <w:pPr>
        <w:ind w:left="420"/>
      </w:pPr>
      <w:r>
        <w:t xml:space="preserve">1. den jeweiligen überprüften Betreiber,</w:t>
      </w:r>
    </w:p>
    <w:p>
      <w:pPr>
        <w:ind w:left="420"/>
      </w:pPr>
      <w:r>
        <w:t xml:space="preserve">2. die oder den Informationssicherheitsbeauftragten des Ressorts und</w:t>
      </w:r>
    </w:p>
    <w:p>
      <w:pPr>
        <w:ind w:left="420"/>
      </w:pPr>
      <w:r>
        <w:t xml:space="preserve">3. die zuständige Rechts- und Fachaufsicht.</w:t>
      </w:r>
    </w:p>
    <w:p>
      <w:r>
        <w:t xml:space="preserve">(5) Das Bundesamt führt vor der Finalisierung des Prüfberichts eine Sachverhaltsklärung mit der geprüften Einrichtung durch. Mit der Mitteilung soll das Bundesamt Vorschläge zur Verbesserung der Informationssicherheit, insbesondere zur Beseitigung der festgestellten Mängel, verbinden. Für die Mitteilung an Stellen außerhalb des Betreibers gilt § 4 Absatz 3 entsprechend. Das Bundesamt kann im Benehmen mit dem oder der Informationssicherheitsbeauftragten des jeweils zuständigen Ressorts Einrichtungen der Bundesverwaltung anweisen, die Vorschläge zur Verbesserung innerhalb einer angemessenen Frist umzusetzen.</w:t>
      </w:r>
    </w:p>
    <w:p>
      <w:r>
        <w:t xml:space="preserve">(6) Ausgenommen von den Befugnissen nach den Absätzen 1 bis 3 sind Kontrollen der Auslandsinformations- und ‑kommunikationstechnik nach § 9 Absatz 2 des Gesetzes über den Auswärtigen Dienst, soweit sie im Ausland belegen ist oder für das Ausland oder für Anwender im Ausland betrieben wird. Die Bestimmungen für die Schnittstellen der Kommunikationstechnik des Bundes im Inland bleiben davon unberührt. Näheres zu Satz 1 regelt eine Verwaltungsvereinbarung zwischen dem Bundesministerium für Digitales und Staatsmodernisierung und dem Auswärtigen Amt.</w:t>
      </w:r>
    </w:p>
    <w:p>
      <w:r>
        <w:t xml:space="preserve">(7) Die Befugnisse nach den Absätzen 1 bis 3 gelten im Geschäftsbereich des Bundesministeriums der Verteidigung nicht für die Kontrolle der Informations- und Kommunikationstechnik, die von den Streitkräften für ihre Zwecke oder dem Militärischen Abschirmdienst genutzt wird. Nicht ausgenommen ist die Informations- und Kommunikationstechnik von Dritten, insbesondere von IT-Dienstleistern, soweit sie nicht ausschließlich für die Zwecke der Streitkräfte betrieben wird. Die Bestimmungen für die Schnittstellen der Kommunikationstechnik des Bundes bleiben von den Sätzen 1 und 2 unberührt. Näheres regelt eine Verwaltungsvereinbarung zwischen dem Bundesministerium für Digitales und Staatsmodernisierung und dem Bundesministerium der Verteidigung.</w:t>
      </w:r>
    </w:p>
    <w:p>
      <w:r>
        <w:t xml:space="preserve">(8) Stellt das Bundesamt im Rahmen seiner Kontrollen fest, dass ein Verstoß gegen die Verpflichtungen dieses Gesetzes eine Verletzung des Schutzes personenbezogener Daten im Sinne von Artikel 4 Nummer 12 der Verordnung (EU) 2016/679 zur Folge haben kann, die gemäß Artikel 33 dieser Verordnung zu melden ist, so unterrichtet es unverzüglich die zuständigen Aufsichtsbehörden.</w:t>
      </w:r>
    </w:p>
    <w:p>
      <w:r>
        <w:t xml:space="preserve">(9) Das Bundesamt unterrichtet den Haushaltsausschuss des Deutschen Bundestages kalenderjährlich jeweils bis zum 30. Juni des dem Berichtsjahr folgenden Jahres über die Anwendung dieser Vorschrift.</w:t>
      </w:r>
    </w:p>
    <w:p>
      <w:r>
        <w:rPr>
          <w:color w:val="555555"/>
          <w:sz w:val="17"/>
        </w:rPr>
        <w:t xml:space="preserve">Zitiervorschlag: § 7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