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BSIG 2025 — Anwendungsbestimmungen und Übergangsregelung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29.07.2026 (konsolidierte Textfassung, kein amtliches Inkrafttretensdatum)</w:t>
      </w:r>
    </w:p>
    <w:p>
      <w:r>
        <w:t xml:space="preserve">§ 2 Nummer 22 und 24 sowie § 33 Absatz 2 und 5 sind erst anzuwenden, wenn eine Rechtsverordnung auf der Grundlage des § 4 Absatz 3 und § 5 Absatz 1 des KRITIS-Dachgesetzes in Kraft getreten ist. Bis zum Inkrafttreten dieser Rechtsverordnung sind § 2 Nummer 22 und 24 sowie § 33 Absatz 2 in der bis einschließlich 16. März 2026 geltenden Fassung sowie § 33 Absatz 5 in der bis einschließlich 28. Juli 2026 geltenden Fassung weiter anzuwenden.</w:t>
      </w:r>
    </w:p>
    <w:p>
      <w:r>
        <w:rPr>
          <w:color w:val="555555"/>
          <w:sz w:val="17"/>
        </w:rPr>
        <w:t xml:space="preserve">Zitiervorschlag: § 66 BSIG 2025</w:t>
      </w:r>
    </w:p>
    <w:p>
      <w:r>
        <w:rPr>
          <w:color w:val="555555"/>
          <w:sz w:val="17"/>
        </w:rPr>
        <w:t xml:space="preserve">Quelle: Bundesamt für Justiz, abgerufen 29.07.2026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