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BSIG 2025 — Aufsichts- und Durchsetzungsmaßnahmen für besonders wichtige Einrichtungen</w:t>
      </w:r>
    </w:p>
    <w:p>
      <w:r>
        <w:rPr>
          <w:color w:val="555555"/>
          <w:sz w:val="18"/>
        </w:rPr>
        <w:t xml:space="preserve">BSI-Gesetz</w:t>
      </w:r>
    </w:p>
    <w:p>
      <w:r>
        <w:rPr>
          <w:color w:val="555555"/>
          <w:sz w:val="18"/>
        </w:rPr>
        <w:t xml:space="preserve">Stand: 07.12.2025 (konsolidierte Textfassung, kein amtliches Inkrafttretensdatum)</w:t>
      </w:r>
    </w:p>
    <w:p>
      <w:r>
        <w:t xml:space="preserve">(1) Das Bundesamt kann gegenüber einzelnen besonders wichtigen Einrichtungen anordnen, Audits, Prüfungen oder Zertifizierungen von unabhängigen Stellen zur Prüfung der Erfüllung der Verpflichtungen nach § 30 Absatz 1 Satz 1, auch in Verbindung mit § 31 Absatz 1 und 2 Satz 1 und § 32 Absatz 1 bis 3 sowie § 38 Absatz 3 durchführen zu lassen.</w:t>
      </w:r>
    </w:p>
    <w:p>
      <w:r>
        <w:t xml:space="preserve">(2) Das Bundesamt kann nach Anhörung der betroffenen Einrichtungen und Wirtschaftsverbände fachliche und organisatorische Anforderungen für die prüfenden Stellen festlegen. Die Festlegung nach Satz 1 erfolgt durch eine öffentliche Mitteilung auf der Internetseite des Bundesamtes.</w:t>
      </w:r>
    </w:p>
    <w:p>
      <w:r>
        <w:t xml:space="preserve">(3) Das Bundesamt kann auch gegenüber anderen besonders wichtigen Einrichtungen frühestens drei Jahre nach Inkrafttreten dieses Gesetzes die Vorlage von Nachweisen über die Erfüllung einzelner oder aller der in Absatz 1 genannten Verpflichtungen anordnen. Soweit das Bundesamt von seinem Recht nach Absatz 1 Gebrauch gemacht hat, kann es hierbei auch die Übermittlung der Ergebnisse der durchgeführten Audits, Prüfungen oder Zertifizierungen einschließlich der dabei aufgedeckten Sicherheitsmängel sowie die Vorlage der Dokumentation, die der Überprüfung zugrunde gelegt wurde, verlangen. Es kann bei Sicherheitsmängeln die Vorlage eines geeigneten Mängelbeseitigungsplans im Einvernehmen mit der zuständigen Aufsichtsbehörde des Bundes oder der sonst zuständigen Aufsichtsbehörde verlangen. Das Bundesamt kann die Vorlage eines geeigneten Nachweises über die erfolgte Mängelbeseitigung verlangen. Abweichend von Satz 1 kann das Bundesamt gegenüber zugelassenen Krankenhäusern nach § 108 des Fünften Buches Sozialgesetzbuch frühestens fünf Jahre nach Inkrafttreten dieses Gesetzes die Vorlage von Nachweisen über die Erfüllung einzelner oder aller der in Absatz 1 genannten Verpflichtungen anordnen, soweit nicht durch Rechtsverordnung nach § 56 Absatz 6 ein früherer Zeitpunkt bestimmt wird.</w:t>
      </w:r>
    </w:p>
    <w:p>
      <w:r>
        <w:t xml:space="preserve">(4) Bei der Auswahl, von welchen Einrichtungen das Bundesamt nach Absatz 3 Nachweise anfordert, berücksichtigt das Bundesamt das Ausmaß der Risikoexposition, die Größe der Einrichtung sowie die Eintrittswahrscheinlichkeit und Schwere von möglichen Sicherheitsvorfällen sowie ihre möglichen gesellschaftlichen und wirtschaftlichen Auswirkungen.</w:t>
      </w:r>
    </w:p>
    <w:p>
      <w:r>
        <w:t xml:space="preserve">(5) Das Bundesamt kann bei besonders wichtigen Einrichtungen die Einhaltung der Anforderungen nach diesem Gesetz überprüfen. Es kann sich bei der Durchführung der Überprüfung eines qualifizierten unabhängigen Dritten bedienen. Die besonders wichtige Einrichtung hat dem Bundesamt und den in dessen Auftrag handelnden Personen zum Zweck der Überprüfung das Betreten der Geschäfts- und Betriebsräume während der üblichen Betriebszeiten zu gestatten und auf Verlangen die in Betracht kommenden Aufzeichnungen, Schriftstücke und sonstigen Unterlagen in geeigneter Weise vorzulegen, Auskunft zu erteilen und die erforderliche Unterstützung zu gewähren. Für die Überprüfung erhebt das Bundesamt Gebühren und Auslagen bei der jeweiligen besonders wichtigen Einrichtung nur, sofern das Bundesamt aufgrund von Anhaltspunkten tätig geworden ist, die berechtigte Zweifel an der Einhaltung der Anforderungen nach § 30 Absatz 1 begründeten.</w:t>
      </w:r>
    </w:p>
    <w:p>
      <w:r>
        <w:t xml:space="preserve">(6) Das Bundesamt kann gegenüber besonders wichtigen Einrichtungen im Benehmen mit der zuständigen Aufsichtsbehörde zur Verhütung oder Behebung eines Sicherheitsvorfalls oder eines Mangels erforderliche Maßnahmen nach § 30 Absatz 1 Satz 1 sowie die Vorlage eines geeigneten Mängelbeseitigungsplanes und eines geeigneten Nachweises über die erfolgte Mängelbeseitigung anordnen. Ein Benehmen mit der zuständigen Aufsichtsbehörde kann entfallen, sofern Gefahr im Verzug besteht. Ferner kann das Bundesamt die Berichterstattung zu den nach Satz 1 angeordneten Maßnahmen innerhalb einer angemessenen Frist verlangen.</w:t>
      </w:r>
    </w:p>
    <w:p>
      <w:r>
        <w:t xml:space="preserve">(7) Das Bundesamt kann gegenüber besonders wichtigen Einrichtungen im Benehmen mit der zuständigen Aufsichtsbehörde Anordnungen zur Umsetzung der in Absatz 1 genannten Verpflichtungen erlassen. Ein Benehmen mit der zuständigen Aufsichtsbehörde kann entfallen, sofern Gefahr im Verzug besteht. Es kann die Umsetzung von im Rahmen einer Sicherheitsprüfung formulierten konkreten Empfehlungen im Einzelfall innerhalb einer angemessenen Frist anordnen.</w:t>
      </w:r>
    </w:p>
    <w:p>
      <w:r>
        <w:t xml:space="preserve">(8) Das Bundesamt kann gegenüber besonders wichtigen Einrichtungen anordnen,</w:t>
      </w:r>
    </w:p>
    <w:p>
      <w:pPr>
        <w:ind w:left="420"/>
      </w:pPr>
      <w:r>
        <w:t xml:space="preserve">1. die natürlichen oder juristischen Personen, für die sie Dienste erbringen oder Tätigkeiten ausüben und die potenziell von einer erheblichen Cyberbedrohung betroffen sind, über die Art der Bedrohung und mögliche Abwehr- oder Abhilfemaßnahmen zu unterrichten, die diese Personen als Reaktion auf die Bedrohung ergreifen können, und</w:t>
      </w:r>
    </w:p>
    <w:p>
      <w:pPr>
        <w:ind w:left="420"/>
      </w:pPr>
      <w:r>
        <w:t xml:space="preserve">2. Informationen zu Verstößen gegen die in Absatz 1 genannten Verpflichtungen nach durch das Bundesamt bestimmten Vorgaben öffentlich bekannt zu machen.</w:t>
      </w:r>
    </w:p>
    <w:p>
      <w:r>
        <w:t xml:space="preserve">(9) Sofern besonders wichtige Einrichtungen den Anordnungen des Bundesamtes nach diesem Gesetz trotz Fristsetzung nicht nachkommen, kann das Bundesamt dies der jeweils zuständigen Aufsichtsbehörde mitteilen. Die zuständige Aufsichtsbehörde kann, wenn ein Zusammenhang zwischen Durchsetzungsmaßnahme und Anordnung besteht, als letztes Mittel</w:t>
      </w:r>
    </w:p>
    <w:p>
      <w:pPr>
        <w:ind w:left="420"/>
      </w:pPr>
      <w:r>
        <w:t xml:space="preserve">1. die dieser Einrichtung erteilte Genehmigung nach dem jeweiligen Fachrecht vorübergehend ganz oder teilweise aussetzen und</w:t>
      </w:r>
    </w:p>
    <w:p>
      <w:pPr>
        <w:ind w:left="420"/>
      </w:pPr>
      <w:r>
        <w:t xml:space="preserve">2. unzuverlässigen Geschäftsleitungen die Ausübung der Tätigkeit, zu der sie berufen sind (§ 2 Nummer 13), vorübergehend untersagen.</w:t>
      </w:r>
    </w:p>
    <w:p>
      <w:r>
        <w:t xml:space="preserve">Die Aussetzung nach Satz 2 Nummer 1 und die Untersagung nach Satz 2 Nummer 2 sind nur solange zulässig, bis die besonders wichtige Einrichtung den Anordnungen des Bundesamtes nachkommt, wegen deren Nichtbefolgung sie ausgesprochen wurden.</w:t>
      </w:r>
    </w:p>
    <w:p>
      <w:r>
        <w:t xml:space="preserve">(10) Soweit das Bundesamt Maßnahmen gegenüber besonders wichtigen Einrichtungen durchführt, informiert es die zuständige Aufsichtsbehörde des Bundes darüber. Die Information hat unverzüglich zu erfolgen, wenn es sich um Maßnahmen nach Absatz 6 oder 7 handelt, die wegen Gefahr im Verzug ohne Benehmen der zuständigen Aufsichtsbehörde ergangen sind.</w:t>
      </w:r>
    </w:p>
    <w:p>
      <w:r>
        <w:t xml:space="preserve">(11) Stellt das Bundesamt im Zuge der Beaufsichtigung einer Einrichtung oder Durchsetzung einer Maßnahme fest, dass ein Verstoß gegen die Verpflichtungen dieses Gesetzes eine Verletzung des Schutzes personenbezogener Daten im Sinne von Artikel 4 Nummer 12 der Verordnung (EU) 2016/679 zur Folge haben kann, die gemäß Artikel 33 dieser Verordnung zu melden ist, unterrichtet es unverzüglich die zuständigen Aufsichtsbehörden.</w:t>
      </w:r>
    </w:p>
    <w:p>
      <w:r>
        <w:t xml:space="preserve">(12) Bei Einrichtungen, die in anderen Mitgliedstaaten der Europäischen Union Dienste erbringen, kann das Bundesamt auch auf Ersuchen der jeweils zuständigen Aufsichtsbehörden des Mitgliedstaats Maßnahmen nach den Absätzen 1 bis 11 ergreifen.</w:t>
      </w:r>
    </w:p>
    <w:p>
      <w:r>
        <w:rPr>
          <w:color w:val="555555"/>
          <w:sz w:val="17"/>
        </w:rPr>
        <w:t xml:space="preserve">Zitiervorschlag: § 61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