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BSIG 2025 — Zentrale Zuständigkeit in der Europäischen Union für bestimmte Einrichtungsarten</w:t>
      </w:r>
    </w:p>
    <w:p>
      <w:r>
        <w:rPr>
          <w:color w:val="555555"/>
          <w:sz w:val="18"/>
        </w:rPr>
        <w:t xml:space="preserve">BSI-Gesetz</w:t>
      </w:r>
    </w:p>
    <w:p>
      <w:r>
        <w:rPr>
          <w:color w:val="555555"/>
          <w:sz w:val="18"/>
        </w:rPr>
        <w:t xml:space="preserve">Stand: 07.12.2025 (konsolidierte Textfassung, kein amtliches Inkrafttretensdatum)</w:t>
      </w:r>
    </w:p>
    <w:p>
      <w:r>
        <w:t xml:space="preserve">(1) Abweichend von § 59 ist das Bundesamt für DNS-Diensteanbieter, Top Level Domain Name Registries, Domain-Name-Registry-Dienstleister, Anbieter von Cloud-Computing-Diensten, Anbieter von Rechenzentrumsdiensten, Betreiber von Content Delivery Networks, Managed Service Provider, Managed Security Service Provider sowie für Anbieter von Online-Marktplätzen, Online-Suchmaschinen oder Plattformen für Dienste sozialer Netzwerke nur dann zuständig, wenn diese ihre Hauptniederlassung in der Europäischen Union in der Bundesrepublik Deutschland haben. Ist dies der Fall, so ist das Bundesamt für die Einrichtung in der gesamten Europäischen Union zentral zuständig.</w:t>
      </w:r>
    </w:p>
    <w:p>
      <w:r>
        <w:t xml:space="preserve">(2) Als Hauptniederlassung in der Europäischen Union im Sinne von Absatz 1 gilt derjenige Mitgliedstaat der Europäischen Union, in dem die Entscheidungen der Einrichtung im Zusammenhang mit den Maßnahmen zum Cybersicherheitsrisikomanagement vorwiegend getroffen werden. Kann ein solcher Mitgliedstaat nicht bestimmt werden oder werden solche Entscheidungen nicht in der Europäischen Union getroffen, so gilt als Hauptniederlassung der Mitgliedstaat, in dem die Cybersicherheitsmaßnahmen durchgeführt werden. Kann ein solcher Mitgliedstaat nicht bestimmt werden, so gilt als Hauptniederlassung der Mitgliedstaat, in dem die betreffende Einrichtung die Niederlassung mit der höchsten Beschäftigtenzahl in der Europäischen Union hat.</w:t>
      </w:r>
    </w:p>
    <w:p>
      <w:r>
        <w:t xml:space="preserve">(3) Hat eine Einrichtung der in Absatz 1 Satz 1 genannten Einrichtungsart keine Niederlassung in der Europäischen Union, bietet aber Dienste innerhalb der Europäischen Union an, so ist sie verpflichtet, einen Vertreter zu benennen. Der Vertreter muss in einem Mitgliedstaat der Europäischen Union niedergelassen sein, in der die Einrichtung die Dienste anbietet. Ist der Vertreter in der Bundesrepublik Deutschland niedergelassen, ist das Bundesamt für die Einrichtung zuständig. Hat eine Einrichtung der in Absatz 1 Satz 1 genannten Einrichtungsart in der Europäischen Union keinen Vertreter im Sinne dieses Absatzes benannt, so kann das Bundesamt sich für die betreffende Einrichtung zuständig erklären.</w:t>
      </w:r>
    </w:p>
    <w:p>
      <w:r>
        <w:t xml:space="preserve">(4) Die Benennung eines Vertreters durch eine Einrichtung der in Absatz 1 Satz 1 genannten Einrichtungsart lässt rechtliche Schritte, die gegen die Einrichtung selbst eingeleitet werden könnten, unberührt.</w:t>
      </w:r>
    </w:p>
    <w:p>
      <w:r>
        <w:t xml:space="preserve">(5) Hat das Bundesamt ein Amtshilfeersuchen eines anderen Mitgliedstaats der Europäischen Union zu einer Einrichtung der in Absatz 1 Satz 1 genannten Einrichtungsart erhalten, so ist das Bundesamt befugt, innerhalb der Grenzen dieses Ersuchens geeignete Aufsichts- und Durchsetzungsmaßnahmen in Bezug auf die betreffende Einrichtung zu ergreifen, die in der Bundesrepublik Deutschland Dienste anbietet oder eine informationstechnisches System, eine informationstechnische Komponente oder einen informationstechnischen Prozess betreibt. Satz 1 gilt entsprechend bei Amtshilfeersuchen eines anderen Mitgliedstaats der Europäischen Union, der für eine Einrichtung in der gesamten Europäischen Union zuständig ist, wenn die Einrichtung in der Bundesrepublik Deutschland Dienste anbietet oder ein informationstechnisches System, eine informationstechnische Komponente oder einen informationstechnischen Prozess betreibt.</w:t>
      </w:r>
    </w:p>
    <w:p>
      <w:r>
        <w:rPr>
          <w:color w:val="555555"/>
          <w:sz w:val="17"/>
        </w:rPr>
        <w:t xml:space="preserve">Zitiervorschlag: § 60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