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BSIG 2025 — Ermächtigung zum Erlass von Rechtsverordnungen</w:t>
      </w:r>
    </w:p>
    <w:p>
      <w:r>
        <w:rPr>
          <w:color w:val="555555"/>
          <w:sz w:val="18"/>
        </w:rPr>
        <w:t xml:space="preserve">BSI-Gesetz</w:t>
      </w:r>
    </w:p>
    <w:p>
      <w:r>
        <w:rPr>
          <w:color w:val="555555"/>
          <w:sz w:val="18"/>
        </w:rPr>
        <w:t xml:space="preserve">Stand: 17.03.2026 (konsolidierte Textfassung, kein amtliches Inkrafttretensdatum)</w:t>
      </w:r>
    </w:p>
    <w:p>
      <w:r>
        <w:t xml:space="preserve">(1) Das Bundesministerium des Innern bestimmt nach Anhörung der betroffenen Wirtschaftsverbände im Einvernehmen mit dem Bundesministerium für Wirtschaft und Energie durch Rechtsverordnung, die nicht der Zustimmung des Bundesrates bedarf, das Nähere über das Verfahren der Erteilung von Sicherheitszertifikaten und Anerkennungen nach § 52 und deren Inhalt.</w:t>
      </w:r>
    </w:p>
    <w:p>
      <w:r>
        <w:t xml:space="preserve">(2) Das Bundesministerium des Innern bestimmt durch Rechtsverordnung, die nicht der Zustimmung des Bundesrates bedarf, nach Anhörung der betroffenen Wirtschaftsverbände im Einvernehmen mit dem Bundesministerium für Wirtschaft und Energie und dem Bundesministerium für Umwelt, Klimaschutz, Naturschutz und nukleare Sicherheit die Einzelheiten der Gestaltung, des Inhalts und der Verwendung des IT-Sicherheitskennzeichens nach § 55, um eine einheitliche Gestaltung des Kennzeichens und eine eindeutige Erkennbarkeit der gekennzeichneten informationstechnischen Produkte zu gewährleisten, sowie die Einzelheiten des Verfahrens zur Feststellung der Eignung branchenabgestimmter IT-Sicherheitsvorgaben und des Antragsverfahrens auf Freigabe einschließlich der diesbezüglichen Fristen und der beizufügenden Unterlagen sowie das Verfahren und die Gestaltung des Verweises auf Sicherheitsinformationen.</w:t>
      </w:r>
    </w:p>
    <w:p>
      <w:r>
        <w:t xml:space="preserve">(3) Das Bundesministerium des Innern bestimmt durch Rechtsverordnung, die nicht der Zustimmung des Bundesrates bedarf, im Einvernehmen mit dem Bundesministerium für Wirtschaft und Energie, dem Bundesministerium der Finanzen, dem Bundesministerium der Justiz und für Verbraucherschutz, dem Bundesministerium für Arbeit und Soziales, dem Bundesministerium der Verteidigung, dem Bundesministerium für Landwirtschaft, Ernährung und Heimat, dem Bundesministerium für Gesundheit, dem Bundesministerium für Verkehr, dem Bundesministerium für Forschung, Technologie und Raumfahrt, dem Bundesministerium für Umwelt, Klimaschutz, Naturschutz und nukleare Sicherheit und dem Bundesministerium für Digitales und Staatsmodernisierung welche durch eine besonders wichtige Einrichtung oder eine wichtige Einrichtung eingesetzten Produkte, Dienste oder Prozesse gemäß § 30 Absatz 6 über eine Cybersicherheitszertifizierung verfügen müssen, da sie für die Erbringung der Dienste der Einrichtung maßgeblich sind und Art und Ausmaß der Risikoexposition der Einrichtung einen verpflichtenden Einsatz von zertifizierten Produkten, Diensten oder Prozessen in diesem Bereich erforderlich machen.</w:t>
      </w:r>
    </w:p>
    <w:p>
      <w:r>
        <w:t xml:space="preserve">(4) Das Bundesministerium des Innern kann im Einvernehmen mit dem Bundesministerium für Wirtschaft und Energie und im Benehmen mit dem Bundesministerium der Justiz und für Verbraucherschutz, dem Bundesministerium der Finanzen, dem Bundesministerium für Arbeit und Soziales, dem Bundesministerium für Landwirtschaft, Ernährung und Heimat, dem Bundesministerium für Gesundheit, dem Bundesministerium für Verkehr, dem Bundesministerium der Verteidigung, dem Bundesministerium für Umwelt, Klimaschutz, Naturschutz und nukleare Sicherheit, dem Bundesministerium für Forschung, Technologie und Raumfahrt und dem Bundesministerium für Digitales und Staatsmodernisierung durch Rechtsverordnung, die nicht der Zustimmung des Bundesrates bedarf, bestimmen, wann ein Sicherheitsvorfall im Hinblick auf seine technischen oder organisatorischen Ursachen oder im Hinblick auf seine Auswirkungen auf die Einrichtung, den Staat, die Wirtschaft oder die Anzahl der von den Auswirkungen Betroffenen als erheblich im Sinne von § 2 Nummer 11 anzusehen ist. Das Bundesministerium kann diese Ermächtigung durch Rechtsverordnung auf das Bundesamt übertragen. Etwaige Durchführungsrechtsakte der Europäischen Kommission gemäß Artikel 23 Absatz 11 Unterabsatz 2 der NIS-2-Richtlinie, die die Voraussetzungen eines erheblichen Sicherheitsvorfalls bestimmen, gehen der Rechtsverordnung nach den Sätzen 1 und 2 insoweit vor.</w:t>
      </w:r>
    </w:p>
    <w:p>
      <w:r>
        <w:t xml:space="preserve">(5) Das Bundesministerium des Innern kann durch Rechtsverordnung, die nicht der Zustimmung des Bundesrates bedarf, im Einvernehmen mit dem Bundesministerium für Gesundheit bestimmen, dass das Bundesamt gegenüber zugelassenen Krankenhäusern nach § 108 des Fünften Buches Sozialgesetzbuch zu einem früheren als dem in § 61 Absatz 3 Satz 5 genannten Zeitpunkt die Vorlage von Nachweisen über die Erfüllung einzelner oder aller der in § 61 Absatz 1 genannten Verpflichtungen anordnen kann.</w:t>
      </w:r>
    </w:p>
    <w:p>
      <w:r>
        <w:t xml:space="preserve">(6) Das Bundesministerium des Innern kann durch Rechtsverordnungen, die nicht der Zustimmung des Bundesrates bedürfen, für jeweils einen der in § 2 Nummer 24 aufgeführten Sektoren im Einvernehmen mit dem in § 41 Absatz 1 für den jeweiligen Sektor genannten Bundesministerium kritische Komponenten im Sinne des § 2 Nummer 23 bestimmen. In der Rechtsverordnung kann eine Komponente als kritische Komponente bestimmt werden, wenn</w:t>
      </w:r>
    </w:p>
    <w:p>
      <w:pPr>
        <w:ind w:left="420"/>
      </w:pPr>
      <w:r>
        <w:t xml:space="preserve">1. es sich bei der Komponente um ein IKT-Produkt handelt,</w:t>
      </w:r>
    </w:p>
    <w:p>
      <w:pPr>
        <w:ind w:left="420"/>
      </w:pPr>
      <w:r>
        <w:t xml:space="preserve">2. die Komponente in kritischen Anlagen eingesetzt wird,</w:t>
      </w:r>
    </w:p>
    <w:p>
      <w:pPr>
        <w:ind w:left="420"/>
      </w:pPr>
      <w:r>
        <w:t xml:space="preserve">3. die Komponente eine kritische Funktion realisiert und</w:t>
      </w:r>
    </w:p>
    <w:p>
      <w:pPr>
        <w:ind w:left="420"/>
      </w:pPr>
      <w:r>
        <w:t xml:space="preserve">4. eine Störung der Verfügbarkeit, Integrität, Authentizität oder Vertraulichkeit der Komponente zu einer Beeinträchtigung der Funktionsfähigkeit kritischer Anlagen oder zu anderen Beeinträchtigungen der öffentlichen Ordnung oder Sicherheit führen könnte.</w:t>
      </w:r>
    </w:p>
    <w:p>
      <w:r>
        <w:t xml:space="preserve">(7) Die in § 41 Absatz 1 genannten Bundesministerien können dem Bundesministerium des Innern einen Vorschlag für den Erlass einer Rechtsverordnung im Sinne des Absatzes 7 vorlegen. Das Vorschlagsrecht betrifft nur den Sektor im Sinne des § 2 Nummer 24, für den das jeweilige Bundesministerium in § 41 Absatz 1 genannt wird.</w:t>
      </w:r>
    </w:p>
    <w:p>
      <w:r>
        <w:rPr>
          <w:color w:val="555555"/>
          <w:sz w:val="17"/>
        </w:rPr>
        <w:t xml:space="preserve">Zitiervorschlag: § 56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https://recht.nulegal.eu/gesetze/BSIG%202025/56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