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BSIG 2025 — Konformitätsbewertung und Konformitätserklärung</w:t>
      </w:r>
    </w:p>
    <w:p>
      <w:r>
        <w:rPr>
          <w:color w:val="555555"/>
          <w:sz w:val="18"/>
        </w:rPr>
        <w:t xml:space="preserve">BSI-Gesetz</w:t>
      </w:r>
    </w:p>
    <w:p>
      <w:r>
        <w:rPr>
          <w:color w:val="555555"/>
          <w:sz w:val="18"/>
        </w:rPr>
        <w:t xml:space="preserve">Stand: 07.12.2025 (konsolidierte Textfassung, kein amtliches Inkrafttretensdatum)</w:t>
      </w:r>
    </w:p>
    <w:p>
      <w:r>
        <w:t xml:space="preserve">(1) Das Bundesamt kann für die vom Bundesamt in einer Technischen Richtlinie festgelegten Anforderungen und Vorgaben zulassen, dass ein Hersteller oder Anbieter von IKT-Produkten, IKT-Diensten und IKT-Prozessen, die keine Verbraucherprodukte nach § 55 sind, sowie eine Person oder ein IT-Sicherheitsdienstleister eine Selbstbewertung seiner oder ihrer Konformität vornimmt. Der Hersteller oder Anbieter von IKT-Produkten, IKT-Diensten und IKT-Prozessen, die Person oder der IT-Sicherheitsdienstleister kann unter den Voraussetzungen von Satz 1 eine Konformitätserklärung ausstellen, die bestätigt, dass er oder sie die in der Technischen Richtlinie festgelegten Anforderungen erfüllt. Durch die Ausstellung der Konformitätserklärung übernimmt der Hersteller oder Anbieter der IKT-Produkte, IKT-Dienste und IKT-Prozesse, die Person oder der IT-Sicherheitsdienstleister (Aussteller) die Verantwortung dafür, dass das IKT-Produkt, der IKT-Dienst, der IKT-Prozess, die Person oder die IT-Sicherheitsdienstleistung den in der Technischen Richtlinie festgelegten Anforderungen entspricht. Eine Erklärung nach Satz 3 darf nur dann für ein IKT-Produkt, einen IKT-Dienst und IKT-Prozess, eine Person oder einen IT-Sicherheitsdienstleister verwendet werden, wenn der Hersteller, der Anbieter, die Person oder der IT-Sicherheitsdienstleisters diese ausgestellt hat und sie weder widerrufen noch nach Absatz 5 Nummer 3 für ungültig erklärt wurde.</w:t>
      </w:r>
    </w:p>
    <w:p>
      <w:r>
        <w:t xml:space="preserve">(2) Die Technische Richtlinie nach Absatz 1 kann insbesondere Vorgaben enthalten über</w:t>
      </w:r>
    </w:p>
    <w:p>
      <w:pPr>
        <w:ind w:left="420"/>
      </w:pPr>
      <w:r>
        <w:t xml:space="preserve">1. den Inhalt und das Format der Konformitätserklärung,</w:t>
      </w:r>
    </w:p>
    <w:p>
      <w:pPr>
        <w:ind w:left="420"/>
      </w:pPr>
      <w:r>
        <w:t xml:space="preserve">2. Nachweise und Verfahren, die die Angaben der Konformitätserklärung belegen,</w:t>
      </w:r>
    </w:p>
    <w:p>
      <w:pPr>
        <w:ind w:left="420"/>
      </w:pPr>
      <w:r>
        <w:t xml:space="preserve">3. die Bedingungen für die Aufrechterhaltung, Fortführung und Verlängerung der Konformitätserklärung,</w:t>
      </w:r>
    </w:p>
    <w:p>
      <w:pPr>
        <w:ind w:left="420"/>
      </w:pPr>
      <w:r>
        <w:t xml:space="preserve">4. die Verwendung eines vom Bundesamt bereitgestellten Kennzeichens und Siegels sowie die Bedingungen für deren Verwendung,</w:t>
      </w:r>
    </w:p>
    <w:p>
      <w:pPr>
        <w:ind w:left="420"/>
      </w:pPr>
      <w:r>
        <w:t xml:space="preserve">5. die Meldung und Behandlung erkannter Schwachstellen des IKT-Produktes, IKT-Dienstes oder IKT-Prozesses oder der IT-Sicherheitsdienstleistung,</w:t>
      </w:r>
    </w:p>
    <w:p>
      <w:pPr>
        <w:ind w:left="420"/>
      </w:pPr>
      <w:r>
        <w:t xml:space="preserve">6. die Bereitstellung von Informationen auf der Internetseite des Bundesamtes über die Konformitätserklärung, dessen Aussteller und das IKT-Produkt, den -Dienst, den -Prozess, die Person oder die IT-Sicherheitsdienstleistung oder</w:t>
      </w:r>
    </w:p>
    <w:p>
      <w:pPr>
        <w:ind w:left="420"/>
      </w:pPr>
      <w:r>
        <w:t xml:space="preserve">7. die Befristung der Geltungsdauer der Konformitätserklärung.</w:t>
      </w:r>
    </w:p>
    <w:p>
      <w:r>
        <w:t xml:space="preserve">(3) Wird in den Vorgaben nach Absatz 2 festgelegt, dass die Angaben der Konformitätserklärung nur durch eine akkreditierte Konformitätsbewertungsstelle nachgewiesen werden können, so kann das Bundesamt auf Antrag Konformitätsbewertungsstellen, die beabsichtigen, im Anwendungsbereich dieses Paragraphen tätig zu werden, eine Befugnis erteilen, wenn die maßgeblichen Voraussetzungen der Technischen Richtlinie erfüllt sind. Ohne eine Befugniserteilung durch das Bundesamt dürfen Konformitätsbewertungsstellen im Anwendungsbereich dieses Paragraphen nicht tätig werden.</w:t>
      </w:r>
    </w:p>
    <w:p>
      <w:r>
        <w:t xml:space="preserve">(4) Der Aussteller hält die Konformitätserklärung, die technische Dokumentation und alle weiteren einschlägigen Informationen in Bezug auf die Konformität der IKT-Produkte, IKT-Dienste und IKT-Prozesse, der Person oder der IT-Sicherheitsdienstleistung mit den festgelegten Kriterien während eines Zeitraums, der vom Bundesamt in der Technischen Richtlinie nach Absatz 1 festgelegt wurde, für das Bundesamt bereit. Eine Kopie der Konformitätserklärung ist dem Bundesamt vorzulegen.</w:t>
      </w:r>
    </w:p>
    <w:p>
      <w:r>
        <w:t xml:space="preserve">(5) Das Bundesamt kann geeignete Maßnahmen ergreifen, um sicherzustellen, dass die Aussteller von Konformitätserklärungen den Anforderungen des Schemas und den Vorgaben dieses Paragraphen genügen und insbesondere</w:t>
      </w:r>
    </w:p>
    <w:p>
      <w:pPr>
        <w:ind w:left="420"/>
      </w:pPr>
      <w:r>
        <w:t xml:space="preserve">1. Aussteller von Konformitätserklärungen auffordern, ihm sämtliche Auskünfte zu erteilen, die es für die Erfüllung seiner Aufgaben benötigt,</w:t>
      </w:r>
    </w:p>
    <w:p>
      <w:pPr>
        <w:ind w:left="420"/>
      </w:pPr>
      <w:r>
        <w:t xml:space="preserve">2. Untersuchungen in Form von Testkäufen oder Audits bei den Ausstellern von Konformitätserklärungen durchführen, um deren Einhaltung der in der Technischen Richtlinie festgelegten Anforderungen und Vorgaben nach Absatz 1 zu überprüfen und</w:t>
      </w:r>
    </w:p>
    <w:p>
      <w:pPr>
        <w:ind w:left="420"/>
      </w:pPr>
      <w:r>
        <w:t xml:space="preserve">3. Konformitätserklärungen nach Absatz 1 für ungültig erklären.</w:t>
      </w:r>
    </w:p>
    <w:p>
      <w:r>
        <w:t xml:space="preserve">(6) Für Maßnahmen nach Absatz 4 kann das Bundesamt Gebühren erheben, sofern es aufgrund von Anhaltspunkten tätig geworden ist, die berechtigte Zweifel an der Einhaltung der Anforderungen der Technischen Richtlinie oder dieses Paragraphen begründeten.</w:t>
      </w:r>
    </w:p>
    <w:p>
      <w:r>
        <w:rPr>
          <w:color w:val="555555"/>
          <w:sz w:val="17"/>
        </w:rPr>
        <w:t xml:space="preserve">Zitiervorschlag: § 53 BSIG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https://recht.nulegal.eu/gesetze/BSIG%202025/53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