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BSIG 2025 — Kooperationspflicht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Top Level Domain Name Registries und Domain-Name-Registry-Dienstleister sind zur Kooperation verpflichtet, um die in den §§ 49 und 50 festgelegten Verpflichtungen zu erfüllen und insbesondere eine doppelte Erhebung von Domain-Namen-Registrierungsdaten vom Domaininhaber auszuschließen.</w:t>
      </w:r>
    </w:p>
    <w:p>
      <w:r>
        <w:rPr>
          <w:color w:val="555555"/>
          <w:sz w:val="17"/>
        </w:rPr>
        <w:t xml:space="preserve">Zitiervorschlag: § 51 BSIG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https://recht.nulegal.eu/gesetze/BSIG%202025/51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